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DF7AC8" w14:textId="77777777" w:rsidR="00570645" w:rsidRPr="001E3097" w:rsidRDefault="00236D1E" w:rsidP="00844A06">
      <w:pPr>
        <w:jc w:val="center"/>
        <w:rPr>
          <w:rFonts w:ascii="Garamond" w:hAnsi="Garamond"/>
          <w:b/>
          <w:sz w:val="25"/>
          <w:szCs w:val="25"/>
        </w:rPr>
      </w:pPr>
      <w:bookmarkStart w:id="0" w:name="_GoBack"/>
      <w:bookmarkEnd w:id="0"/>
      <w:r w:rsidRPr="001E3097">
        <w:rPr>
          <w:rFonts w:ascii="Garamond" w:hAnsi="Garamond"/>
          <w:b/>
          <w:sz w:val="25"/>
          <w:szCs w:val="25"/>
        </w:rPr>
        <w:t>UNITED STATES DISTRICT COURT</w:t>
      </w:r>
    </w:p>
    <w:p w14:paraId="449F769A" w14:textId="3AFCE86E" w:rsidR="00236D1E" w:rsidRPr="001E3097" w:rsidRDefault="00236D1E" w:rsidP="00B57FAE">
      <w:pPr>
        <w:pBdr>
          <w:bottom w:val="single" w:sz="6" w:space="1" w:color="auto"/>
        </w:pBdr>
        <w:jc w:val="center"/>
        <w:rPr>
          <w:rFonts w:ascii="Garamond" w:hAnsi="Garamond"/>
          <w:b/>
          <w:sz w:val="25"/>
          <w:szCs w:val="25"/>
        </w:rPr>
      </w:pPr>
      <w:r w:rsidRPr="001E3097">
        <w:rPr>
          <w:rFonts w:ascii="Garamond" w:hAnsi="Garamond"/>
          <w:b/>
          <w:sz w:val="25"/>
          <w:szCs w:val="25"/>
        </w:rPr>
        <w:t>DISTRICT OF MOOT</w:t>
      </w:r>
    </w:p>
    <w:p w14:paraId="136DA8D1" w14:textId="77777777" w:rsidR="00B57FAE" w:rsidRPr="001E3097" w:rsidRDefault="00B57FAE" w:rsidP="00B57FAE">
      <w:pPr>
        <w:pBdr>
          <w:bottom w:val="single" w:sz="6" w:space="1" w:color="auto"/>
        </w:pBdr>
        <w:jc w:val="center"/>
        <w:rPr>
          <w:rFonts w:ascii="Garamond" w:hAnsi="Garamond"/>
          <w:b/>
          <w:sz w:val="25"/>
          <w:szCs w:val="25"/>
        </w:rPr>
      </w:pPr>
    </w:p>
    <w:p w14:paraId="76D10891" w14:textId="77777777" w:rsidR="00981715" w:rsidRPr="001E3097" w:rsidRDefault="00EE7EB4" w:rsidP="00D22695">
      <w:pPr>
        <w:ind w:right="-810"/>
        <w:rPr>
          <w:rFonts w:ascii="Garamond" w:hAnsi="Garamond"/>
          <w:sz w:val="25"/>
          <w:szCs w:val="25"/>
        </w:rPr>
      </w:pP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0033769F" w:rsidRPr="001E3097">
        <w:rPr>
          <w:rFonts w:ascii="Garamond" w:hAnsi="Garamond"/>
          <w:sz w:val="25"/>
          <w:szCs w:val="25"/>
        </w:rPr>
        <w:tab/>
      </w:r>
      <w:r w:rsidRPr="001E3097">
        <w:rPr>
          <w:rFonts w:ascii="Garamond" w:hAnsi="Garamond"/>
          <w:sz w:val="25"/>
          <w:szCs w:val="25"/>
        </w:rPr>
        <w:t>|</w:t>
      </w:r>
      <w:r w:rsidR="0033769F" w:rsidRPr="001E3097">
        <w:rPr>
          <w:rFonts w:ascii="Garamond" w:hAnsi="Garamond"/>
          <w:sz w:val="25"/>
          <w:szCs w:val="25"/>
        </w:rPr>
        <w:t xml:space="preserve">         </w:t>
      </w:r>
    </w:p>
    <w:p w14:paraId="3495D72D" w14:textId="6EAA5E1B" w:rsidR="00236D1E" w:rsidRPr="001E3097" w:rsidRDefault="00981715" w:rsidP="00D22695">
      <w:pPr>
        <w:ind w:left="4320" w:right="-810" w:firstLine="720"/>
        <w:rPr>
          <w:rFonts w:ascii="Garamond" w:hAnsi="Garamond"/>
          <w:sz w:val="25"/>
          <w:szCs w:val="25"/>
        </w:rPr>
      </w:pPr>
      <w:r w:rsidRPr="001E3097">
        <w:rPr>
          <w:rFonts w:ascii="Garamond" w:hAnsi="Garamond"/>
          <w:sz w:val="25"/>
          <w:szCs w:val="25"/>
        </w:rPr>
        <w:t xml:space="preserve">|         </w:t>
      </w:r>
      <w:r w:rsidR="00717337" w:rsidRPr="001E3097">
        <w:rPr>
          <w:rFonts w:ascii="Garamond" w:hAnsi="Garamond"/>
          <w:sz w:val="25"/>
          <w:szCs w:val="25"/>
        </w:rPr>
        <w:t>COURT FILE</w:t>
      </w:r>
      <w:r w:rsidR="0033769F" w:rsidRPr="001E3097">
        <w:rPr>
          <w:rFonts w:ascii="Garamond" w:hAnsi="Garamond"/>
          <w:sz w:val="25"/>
          <w:szCs w:val="25"/>
        </w:rPr>
        <w:t xml:space="preserve"> NO. 27-CV-12-1234</w:t>
      </w:r>
    </w:p>
    <w:p w14:paraId="736C9C08" w14:textId="3C3B194E" w:rsidR="00236D1E" w:rsidRPr="001E3097" w:rsidRDefault="00FA6E8B" w:rsidP="00D22695">
      <w:pPr>
        <w:ind w:right="-810"/>
        <w:rPr>
          <w:rFonts w:ascii="Garamond" w:hAnsi="Garamond"/>
          <w:sz w:val="25"/>
          <w:szCs w:val="25"/>
        </w:rPr>
      </w:pPr>
      <w:r w:rsidRPr="001E3097">
        <w:rPr>
          <w:rFonts w:ascii="Garamond" w:hAnsi="Garamond"/>
          <w:sz w:val="25"/>
          <w:szCs w:val="25"/>
        </w:rPr>
        <w:t xml:space="preserve">    </w:t>
      </w:r>
      <w:r w:rsidR="001B37CC" w:rsidRPr="001E3097">
        <w:rPr>
          <w:rFonts w:ascii="Garamond" w:hAnsi="Garamond"/>
          <w:sz w:val="25"/>
          <w:szCs w:val="25"/>
        </w:rPr>
        <w:t>OGS TV, INC</w:t>
      </w:r>
      <w:r w:rsidR="00236D1E" w:rsidRPr="001E3097">
        <w:rPr>
          <w:rFonts w:ascii="Garamond" w:hAnsi="Garamond"/>
          <w:sz w:val="25"/>
          <w:szCs w:val="25"/>
        </w:rPr>
        <w:t>.</w:t>
      </w:r>
      <w:r w:rsidR="003769BA" w:rsidRPr="001E3097">
        <w:rPr>
          <w:rFonts w:ascii="Garamond" w:hAnsi="Garamond"/>
          <w:sz w:val="25"/>
          <w:szCs w:val="25"/>
        </w:rPr>
        <w:tab/>
      </w:r>
      <w:r w:rsidR="003769BA" w:rsidRPr="001E3097">
        <w:rPr>
          <w:rFonts w:ascii="Garamond" w:hAnsi="Garamond"/>
          <w:sz w:val="25"/>
          <w:szCs w:val="25"/>
        </w:rPr>
        <w:tab/>
      </w:r>
      <w:r w:rsidRPr="001E3097">
        <w:rPr>
          <w:rFonts w:ascii="Garamond" w:hAnsi="Garamond"/>
          <w:sz w:val="25"/>
          <w:szCs w:val="25"/>
        </w:rPr>
        <w:tab/>
      </w:r>
      <w:r w:rsidR="003769BA" w:rsidRPr="001E3097">
        <w:rPr>
          <w:rFonts w:ascii="Garamond" w:hAnsi="Garamond"/>
          <w:sz w:val="25"/>
          <w:szCs w:val="25"/>
        </w:rPr>
        <w:tab/>
      </w:r>
      <w:r w:rsidR="0033769F" w:rsidRPr="001E3097">
        <w:rPr>
          <w:rFonts w:ascii="Garamond" w:hAnsi="Garamond"/>
          <w:sz w:val="25"/>
          <w:szCs w:val="25"/>
        </w:rPr>
        <w:tab/>
      </w:r>
      <w:r w:rsidR="00EE7EB4" w:rsidRPr="001E3097">
        <w:rPr>
          <w:rFonts w:ascii="Garamond" w:hAnsi="Garamond"/>
          <w:sz w:val="25"/>
          <w:szCs w:val="25"/>
        </w:rPr>
        <w:t>|</w:t>
      </w:r>
      <w:r w:rsidR="0033769F" w:rsidRPr="001E3097">
        <w:rPr>
          <w:rFonts w:ascii="Garamond" w:hAnsi="Garamond"/>
          <w:sz w:val="25"/>
          <w:szCs w:val="25"/>
        </w:rPr>
        <w:tab/>
      </w:r>
    </w:p>
    <w:p w14:paraId="28AAD213" w14:textId="77777777" w:rsidR="00236D1E" w:rsidRPr="001E3097" w:rsidRDefault="00EE7EB4" w:rsidP="00D22695">
      <w:pPr>
        <w:ind w:right="-810"/>
        <w:rPr>
          <w:rFonts w:ascii="Garamond" w:hAnsi="Garamond"/>
          <w:sz w:val="25"/>
          <w:szCs w:val="25"/>
        </w:rPr>
      </w:pP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0033769F" w:rsidRPr="001E3097">
        <w:rPr>
          <w:rFonts w:ascii="Garamond" w:hAnsi="Garamond"/>
          <w:sz w:val="25"/>
          <w:szCs w:val="25"/>
        </w:rPr>
        <w:tab/>
      </w:r>
      <w:r w:rsidRPr="001E3097">
        <w:rPr>
          <w:rFonts w:ascii="Garamond" w:hAnsi="Garamond"/>
          <w:sz w:val="25"/>
          <w:szCs w:val="25"/>
        </w:rPr>
        <w:t>|</w:t>
      </w:r>
    </w:p>
    <w:p w14:paraId="3C49DD6C" w14:textId="2CA91248" w:rsidR="0033769F" w:rsidRPr="001E3097" w:rsidRDefault="00236D1E" w:rsidP="00D11814">
      <w:pPr>
        <w:ind w:right="-900"/>
        <w:rPr>
          <w:rFonts w:ascii="Garamond" w:hAnsi="Garamond"/>
          <w:sz w:val="25"/>
          <w:szCs w:val="25"/>
        </w:rPr>
      </w:pP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t>Plaintiff,</w:t>
      </w:r>
      <w:r w:rsidR="00EE7EB4" w:rsidRPr="001E3097">
        <w:rPr>
          <w:rFonts w:ascii="Garamond" w:hAnsi="Garamond"/>
          <w:sz w:val="25"/>
          <w:szCs w:val="25"/>
        </w:rPr>
        <w:tab/>
      </w:r>
      <w:r w:rsidR="0033769F" w:rsidRPr="001E3097">
        <w:rPr>
          <w:rFonts w:ascii="Garamond" w:hAnsi="Garamond"/>
          <w:sz w:val="25"/>
          <w:szCs w:val="25"/>
        </w:rPr>
        <w:tab/>
      </w:r>
      <w:r w:rsidR="00EE7EB4" w:rsidRPr="001E3097">
        <w:rPr>
          <w:rFonts w:ascii="Garamond" w:hAnsi="Garamond"/>
          <w:sz w:val="25"/>
          <w:szCs w:val="25"/>
        </w:rPr>
        <w:t>|</w:t>
      </w:r>
      <w:r w:rsidR="00811032" w:rsidRPr="001E3097">
        <w:rPr>
          <w:rFonts w:ascii="Garamond" w:hAnsi="Garamond"/>
          <w:sz w:val="25"/>
          <w:szCs w:val="25"/>
        </w:rPr>
        <w:t xml:space="preserve">       </w:t>
      </w:r>
      <w:r w:rsidR="0033769F" w:rsidRPr="001E3097">
        <w:rPr>
          <w:rFonts w:ascii="Garamond" w:hAnsi="Garamond"/>
          <w:sz w:val="25"/>
          <w:szCs w:val="25"/>
        </w:rPr>
        <w:t>DEFENDANTS’ MEMORANDUM</w:t>
      </w:r>
      <w:r w:rsidR="0033769F" w:rsidRPr="001E3097">
        <w:rPr>
          <w:rFonts w:ascii="Garamond" w:hAnsi="Garamond"/>
          <w:sz w:val="25"/>
          <w:szCs w:val="25"/>
        </w:rPr>
        <w:tab/>
      </w:r>
      <w:r w:rsidR="0033769F" w:rsidRPr="001E3097">
        <w:rPr>
          <w:rFonts w:ascii="Garamond" w:hAnsi="Garamond"/>
          <w:sz w:val="25"/>
          <w:szCs w:val="25"/>
        </w:rPr>
        <w:tab/>
      </w:r>
      <w:r w:rsidR="0033769F" w:rsidRPr="001E3097">
        <w:rPr>
          <w:rFonts w:ascii="Garamond" w:hAnsi="Garamond"/>
          <w:sz w:val="25"/>
          <w:szCs w:val="25"/>
        </w:rPr>
        <w:tab/>
      </w:r>
      <w:r w:rsidR="0033769F" w:rsidRPr="001E3097">
        <w:rPr>
          <w:rFonts w:ascii="Garamond" w:hAnsi="Garamond"/>
          <w:sz w:val="25"/>
          <w:szCs w:val="25"/>
        </w:rPr>
        <w:tab/>
      </w:r>
      <w:r w:rsidR="0033769F" w:rsidRPr="001E3097">
        <w:rPr>
          <w:rFonts w:ascii="Garamond" w:hAnsi="Garamond"/>
          <w:sz w:val="25"/>
          <w:szCs w:val="25"/>
        </w:rPr>
        <w:tab/>
      </w:r>
      <w:r w:rsidR="0033769F" w:rsidRPr="001E3097">
        <w:rPr>
          <w:rFonts w:ascii="Garamond" w:hAnsi="Garamond"/>
          <w:sz w:val="25"/>
          <w:szCs w:val="25"/>
        </w:rPr>
        <w:tab/>
      </w:r>
      <w:r w:rsidR="0033769F" w:rsidRPr="001E3097">
        <w:rPr>
          <w:rFonts w:ascii="Garamond" w:hAnsi="Garamond"/>
          <w:sz w:val="25"/>
          <w:szCs w:val="25"/>
        </w:rPr>
        <w:tab/>
      </w:r>
      <w:r w:rsidR="0033769F" w:rsidRPr="001E3097">
        <w:rPr>
          <w:rFonts w:ascii="Garamond" w:hAnsi="Garamond"/>
          <w:sz w:val="25"/>
          <w:szCs w:val="25"/>
        </w:rPr>
        <w:tab/>
      </w:r>
      <w:r w:rsidR="00811032" w:rsidRPr="001E3097">
        <w:rPr>
          <w:rFonts w:ascii="Garamond" w:hAnsi="Garamond"/>
          <w:sz w:val="25"/>
          <w:szCs w:val="25"/>
        </w:rPr>
        <w:tab/>
        <w:t xml:space="preserve">|       </w:t>
      </w:r>
      <w:r w:rsidR="0033769F" w:rsidRPr="001E3097">
        <w:rPr>
          <w:rFonts w:ascii="Garamond" w:hAnsi="Garamond"/>
          <w:sz w:val="25"/>
          <w:szCs w:val="25"/>
        </w:rPr>
        <w:t>OF LAW IN SUPPORT OF DEFENDANTS’</w:t>
      </w:r>
    </w:p>
    <w:p w14:paraId="78C04CC0" w14:textId="43FEF896" w:rsidR="00236D1E" w:rsidRPr="001E3097" w:rsidRDefault="00FA6E8B" w:rsidP="00D11814">
      <w:pPr>
        <w:ind w:right="-900"/>
        <w:rPr>
          <w:rFonts w:ascii="Garamond" w:hAnsi="Garamond"/>
          <w:sz w:val="25"/>
          <w:szCs w:val="25"/>
        </w:rPr>
      </w:pPr>
      <w:r w:rsidRPr="001E3097">
        <w:rPr>
          <w:rFonts w:ascii="Garamond" w:hAnsi="Garamond"/>
          <w:sz w:val="25"/>
          <w:szCs w:val="25"/>
        </w:rPr>
        <w:t xml:space="preserve">    </w:t>
      </w:r>
      <w:r w:rsidR="00236D1E" w:rsidRPr="001E3097">
        <w:rPr>
          <w:rFonts w:ascii="Garamond" w:hAnsi="Garamond"/>
          <w:sz w:val="25"/>
          <w:szCs w:val="25"/>
        </w:rPr>
        <w:t xml:space="preserve">vs. </w:t>
      </w:r>
      <w:r w:rsidR="00EE7EB4" w:rsidRPr="001E3097">
        <w:rPr>
          <w:rFonts w:ascii="Garamond" w:hAnsi="Garamond"/>
          <w:sz w:val="25"/>
          <w:szCs w:val="25"/>
        </w:rPr>
        <w:tab/>
      </w:r>
      <w:r w:rsidR="00EE7EB4" w:rsidRPr="001E3097">
        <w:rPr>
          <w:rFonts w:ascii="Garamond" w:hAnsi="Garamond"/>
          <w:sz w:val="25"/>
          <w:szCs w:val="25"/>
        </w:rPr>
        <w:tab/>
      </w:r>
      <w:r w:rsidR="00EE7EB4" w:rsidRPr="001E3097">
        <w:rPr>
          <w:rFonts w:ascii="Garamond" w:hAnsi="Garamond"/>
          <w:sz w:val="25"/>
          <w:szCs w:val="25"/>
        </w:rPr>
        <w:tab/>
      </w:r>
      <w:r w:rsidR="00EE7EB4" w:rsidRPr="001E3097">
        <w:rPr>
          <w:rFonts w:ascii="Garamond" w:hAnsi="Garamond"/>
          <w:sz w:val="25"/>
          <w:szCs w:val="25"/>
        </w:rPr>
        <w:tab/>
      </w:r>
      <w:r w:rsidRPr="001E3097">
        <w:rPr>
          <w:rFonts w:ascii="Garamond" w:hAnsi="Garamond"/>
          <w:sz w:val="25"/>
          <w:szCs w:val="25"/>
        </w:rPr>
        <w:tab/>
      </w:r>
      <w:r w:rsidR="00EE7EB4" w:rsidRPr="001E3097">
        <w:rPr>
          <w:rFonts w:ascii="Garamond" w:hAnsi="Garamond"/>
          <w:sz w:val="25"/>
          <w:szCs w:val="25"/>
        </w:rPr>
        <w:tab/>
      </w:r>
      <w:r w:rsidR="0033769F" w:rsidRPr="001E3097">
        <w:rPr>
          <w:rFonts w:ascii="Garamond" w:hAnsi="Garamond"/>
          <w:sz w:val="25"/>
          <w:szCs w:val="25"/>
        </w:rPr>
        <w:tab/>
      </w:r>
      <w:r w:rsidR="00EE7EB4" w:rsidRPr="001E3097">
        <w:rPr>
          <w:rFonts w:ascii="Garamond" w:hAnsi="Garamond"/>
          <w:sz w:val="25"/>
          <w:szCs w:val="25"/>
        </w:rPr>
        <w:t>|</w:t>
      </w:r>
      <w:r w:rsidR="0033769F" w:rsidRPr="001E3097">
        <w:rPr>
          <w:rFonts w:ascii="Garamond" w:hAnsi="Garamond"/>
          <w:sz w:val="25"/>
          <w:szCs w:val="25"/>
        </w:rPr>
        <w:t xml:space="preserve">   </w:t>
      </w:r>
      <w:r w:rsidR="00811032" w:rsidRPr="001E3097">
        <w:rPr>
          <w:rFonts w:ascii="Garamond" w:hAnsi="Garamond"/>
          <w:sz w:val="25"/>
          <w:szCs w:val="25"/>
        </w:rPr>
        <w:t xml:space="preserve">    </w:t>
      </w:r>
      <w:r w:rsidR="0033769F" w:rsidRPr="001E3097">
        <w:rPr>
          <w:rFonts w:ascii="Garamond" w:hAnsi="Garamond"/>
          <w:sz w:val="25"/>
          <w:szCs w:val="25"/>
        </w:rPr>
        <w:t xml:space="preserve">MOTION </w:t>
      </w:r>
      <w:r w:rsidR="00D22695" w:rsidRPr="001E3097">
        <w:rPr>
          <w:rFonts w:ascii="Garamond" w:hAnsi="Garamond"/>
          <w:sz w:val="25"/>
          <w:szCs w:val="25"/>
        </w:rPr>
        <w:t xml:space="preserve">TO DISMISS FOR FAILURE TO </w:t>
      </w:r>
    </w:p>
    <w:p w14:paraId="044D5DC3" w14:textId="5F92B4D3" w:rsidR="0033769F" w:rsidRPr="001E3097" w:rsidRDefault="00236D1E" w:rsidP="00D11814">
      <w:pPr>
        <w:ind w:right="-900" w:firstLine="720"/>
        <w:rPr>
          <w:rFonts w:ascii="Garamond" w:hAnsi="Garamond"/>
          <w:sz w:val="25"/>
          <w:szCs w:val="25"/>
        </w:rPr>
      </w:pPr>
      <w:r w:rsidRPr="001E3097">
        <w:rPr>
          <w:rFonts w:ascii="Garamond" w:hAnsi="Garamond"/>
          <w:sz w:val="25"/>
          <w:szCs w:val="25"/>
        </w:rPr>
        <w:tab/>
      </w:r>
      <w:r w:rsidRPr="001E3097">
        <w:rPr>
          <w:rFonts w:ascii="Garamond" w:hAnsi="Garamond"/>
          <w:sz w:val="25"/>
          <w:szCs w:val="25"/>
        </w:rPr>
        <w:tab/>
      </w:r>
      <w:r w:rsidR="0033769F" w:rsidRPr="001E3097">
        <w:rPr>
          <w:rFonts w:ascii="Garamond" w:hAnsi="Garamond"/>
          <w:sz w:val="25"/>
          <w:szCs w:val="25"/>
        </w:rPr>
        <w:tab/>
      </w:r>
      <w:r w:rsidR="0033769F" w:rsidRPr="001E3097">
        <w:rPr>
          <w:rFonts w:ascii="Garamond" w:hAnsi="Garamond"/>
          <w:sz w:val="25"/>
          <w:szCs w:val="25"/>
        </w:rPr>
        <w:tab/>
      </w:r>
      <w:r w:rsidR="0033769F" w:rsidRPr="001E3097">
        <w:rPr>
          <w:rFonts w:ascii="Garamond" w:hAnsi="Garamond"/>
          <w:sz w:val="25"/>
          <w:szCs w:val="25"/>
        </w:rPr>
        <w:tab/>
      </w:r>
      <w:r w:rsidR="0033769F" w:rsidRPr="001E3097">
        <w:rPr>
          <w:rFonts w:ascii="Garamond" w:hAnsi="Garamond"/>
          <w:sz w:val="25"/>
          <w:szCs w:val="25"/>
        </w:rPr>
        <w:tab/>
        <w:t>|</w:t>
      </w:r>
      <w:r w:rsidR="00811032" w:rsidRPr="001E3097">
        <w:rPr>
          <w:rFonts w:ascii="Garamond" w:hAnsi="Garamond"/>
          <w:sz w:val="25"/>
          <w:szCs w:val="25"/>
        </w:rPr>
        <w:t xml:space="preserve">       </w:t>
      </w:r>
      <w:r w:rsidR="00D22695" w:rsidRPr="001E3097">
        <w:rPr>
          <w:rFonts w:ascii="Garamond" w:hAnsi="Garamond"/>
          <w:sz w:val="25"/>
          <w:szCs w:val="25"/>
        </w:rPr>
        <w:t>STATE A CLAIM UPON WHICH RELIEF</w:t>
      </w:r>
    </w:p>
    <w:p w14:paraId="2712A6A2" w14:textId="38D46353" w:rsidR="00236D1E" w:rsidRPr="001E3097" w:rsidRDefault="00236D1E" w:rsidP="00D11814">
      <w:pPr>
        <w:ind w:left="1440" w:right="-900" w:firstLine="720"/>
        <w:rPr>
          <w:rFonts w:ascii="Garamond" w:hAnsi="Garamond"/>
          <w:sz w:val="25"/>
          <w:szCs w:val="25"/>
        </w:rPr>
      </w:pPr>
      <w:r w:rsidRPr="001E3097">
        <w:rPr>
          <w:rFonts w:ascii="Garamond" w:hAnsi="Garamond"/>
          <w:sz w:val="25"/>
          <w:szCs w:val="25"/>
        </w:rPr>
        <w:tab/>
      </w:r>
      <w:r w:rsidR="00EE7EB4" w:rsidRPr="001E3097">
        <w:rPr>
          <w:rFonts w:ascii="Garamond" w:hAnsi="Garamond"/>
          <w:sz w:val="25"/>
          <w:szCs w:val="25"/>
        </w:rPr>
        <w:tab/>
      </w:r>
      <w:r w:rsidR="00EE7EB4" w:rsidRPr="001E3097">
        <w:rPr>
          <w:rFonts w:ascii="Garamond" w:hAnsi="Garamond"/>
          <w:sz w:val="25"/>
          <w:szCs w:val="25"/>
        </w:rPr>
        <w:tab/>
      </w:r>
      <w:r w:rsidR="0033769F" w:rsidRPr="001E3097">
        <w:rPr>
          <w:rFonts w:ascii="Garamond" w:hAnsi="Garamond"/>
          <w:sz w:val="25"/>
          <w:szCs w:val="25"/>
        </w:rPr>
        <w:tab/>
      </w:r>
      <w:r w:rsidR="00EE7EB4" w:rsidRPr="001E3097">
        <w:rPr>
          <w:rFonts w:ascii="Garamond" w:hAnsi="Garamond"/>
          <w:sz w:val="25"/>
          <w:szCs w:val="25"/>
        </w:rPr>
        <w:t>|</w:t>
      </w:r>
      <w:r w:rsidR="00811032" w:rsidRPr="001E3097">
        <w:rPr>
          <w:rFonts w:ascii="Garamond" w:hAnsi="Garamond"/>
          <w:sz w:val="25"/>
          <w:szCs w:val="25"/>
        </w:rPr>
        <w:t xml:space="preserve">       </w:t>
      </w:r>
      <w:r w:rsidR="00D22695" w:rsidRPr="001E3097">
        <w:rPr>
          <w:rFonts w:ascii="Garamond" w:hAnsi="Garamond"/>
          <w:sz w:val="25"/>
          <w:szCs w:val="25"/>
        </w:rPr>
        <w:t>CAN BE GRANTED</w:t>
      </w:r>
    </w:p>
    <w:p w14:paraId="118F4F73" w14:textId="1FDF6E5E" w:rsidR="00EE7EB4" w:rsidRPr="001E3097" w:rsidRDefault="00FA6E8B" w:rsidP="00D22695">
      <w:pPr>
        <w:ind w:right="-810"/>
        <w:rPr>
          <w:rFonts w:ascii="Garamond" w:hAnsi="Garamond"/>
          <w:sz w:val="25"/>
          <w:szCs w:val="25"/>
        </w:rPr>
      </w:pPr>
      <w:r w:rsidRPr="001E3097">
        <w:rPr>
          <w:rFonts w:ascii="Garamond" w:hAnsi="Garamond"/>
          <w:sz w:val="25"/>
          <w:szCs w:val="25"/>
        </w:rPr>
        <w:t xml:space="preserve">    </w:t>
      </w:r>
      <w:r w:rsidR="00EE7EB4" w:rsidRPr="001E3097">
        <w:rPr>
          <w:rFonts w:ascii="Garamond" w:hAnsi="Garamond"/>
          <w:sz w:val="25"/>
          <w:szCs w:val="25"/>
        </w:rPr>
        <w:t>ELIZABETH LIME, and TinyTV</w:t>
      </w:r>
      <w:r w:rsidR="001B37CC" w:rsidRPr="001E3097">
        <w:rPr>
          <w:rFonts w:ascii="Garamond" w:hAnsi="Garamond"/>
          <w:sz w:val="25"/>
          <w:szCs w:val="25"/>
        </w:rPr>
        <w:t>, INC</w:t>
      </w:r>
      <w:r w:rsidR="00981715" w:rsidRPr="001E3097">
        <w:rPr>
          <w:rFonts w:ascii="Garamond" w:hAnsi="Garamond"/>
          <w:sz w:val="25"/>
          <w:szCs w:val="25"/>
        </w:rPr>
        <w:t>.</w:t>
      </w:r>
      <w:r w:rsidR="00981715" w:rsidRPr="001E3097">
        <w:rPr>
          <w:rFonts w:ascii="Garamond" w:hAnsi="Garamond"/>
          <w:sz w:val="25"/>
          <w:szCs w:val="25"/>
        </w:rPr>
        <w:tab/>
      </w:r>
      <w:r w:rsidRPr="001E3097">
        <w:rPr>
          <w:rFonts w:ascii="Garamond" w:hAnsi="Garamond"/>
          <w:sz w:val="25"/>
          <w:szCs w:val="25"/>
        </w:rPr>
        <w:tab/>
      </w:r>
      <w:r w:rsidR="0033769F" w:rsidRPr="001E3097">
        <w:rPr>
          <w:rFonts w:ascii="Garamond" w:hAnsi="Garamond"/>
          <w:sz w:val="25"/>
          <w:szCs w:val="25"/>
        </w:rPr>
        <w:t>|</w:t>
      </w:r>
    </w:p>
    <w:p w14:paraId="41E7A3E7" w14:textId="77777777" w:rsidR="0033769F" w:rsidRPr="001E3097" w:rsidRDefault="0033769F" w:rsidP="00D22695">
      <w:pPr>
        <w:ind w:right="-810" w:firstLine="720"/>
        <w:rPr>
          <w:rFonts w:ascii="Garamond" w:hAnsi="Garamond"/>
          <w:sz w:val="25"/>
          <w:szCs w:val="25"/>
        </w:rPr>
      </w:pP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t>|</w:t>
      </w:r>
    </w:p>
    <w:p w14:paraId="6E87A670" w14:textId="77777777" w:rsidR="0033769F" w:rsidRPr="001E3097" w:rsidRDefault="0033769F" w:rsidP="00811032">
      <w:pPr>
        <w:pBdr>
          <w:bottom w:val="single" w:sz="12" w:space="1" w:color="auto"/>
        </w:pBdr>
        <w:ind w:firstLine="720"/>
        <w:rPr>
          <w:rFonts w:ascii="Garamond" w:hAnsi="Garamond"/>
          <w:sz w:val="25"/>
          <w:szCs w:val="25"/>
        </w:rPr>
      </w:pP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t>Defendants.</w:t>
      </w:r>
      <w:r w:rsidRPr="001E3097">
        <w:rPr>
          <w:rFonts w:ascii="Garamond" w:hAnsi="Garamond"/>
          <w:sz w:val="25"/>
          <w:szCs w:val="25"/>
        </w:rPr>
        <w:tab/>
      </w:r>
      <w:r w:rsidRPr="001E3097">
        <w:rPr>
          <w:rFonts w:ascii="Garamond" w:hAnsi="Garamond"/>
          <w:sz w:val="25"/>
          <w:szCs w:val="25"/>
        </w:rPr>
        <w:tab/>
        <w:t>|</w:t>
      </w:r>
    </w:p>
    <w:p w14:paraId="0EF174C4" w14:textId="3EFE407E" w:rsidR="00427F1C" w:rsidRPr="001E3097" w:rsidRDefault="00F37A49" w:rsidP="00811032">
      <w:pPr>
        <w:pBdr>
          <w:bottom w:val="single" w:sz="12" w:space="1" w:color="auto"/>
        </w:pBdr>
        <w:ind w:firstLine="720"/>
        <w:rPr>
          <w:rFonts w:ascii="Garamond" w:hAnsi="Garamond"/>
          <w:sz w:val="25"/>
          <w:szCs w:val="25"/>
        </w:rPr>
      </w:pP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t>|</w:t>
      </w:r>
    </w:p>
    <w:p w14:paraId="26981368" w14:textId="77777777" w:rsidR="00F37A49" w:rsidRPr="001E3097" w:rsidRDefault="00F37A49" w:rsidP="00811032">
      <w:pPr>
        <w:ind w:firstLine="720"/>
        <w:rPr>
          <w:rFonts w:ascii="Garamond" w:hAnsi="Garamond"/>
          <w:sz w:val="25"/>
          <w:szCs w:val="25"/>
        </w:rPr>
      </w:pPr>
    </w:p>
    <w:p w14:paraId="0AC77C78" w14:textId="48785DAB" w:rsidR="00981715" w:rsidRPr="001E3097" w:rsidRDefault="00981715" w:rsidP="00811032">
      <w:pPr>
        <w:ind w:firstLine="720"/>
        <w:jc w:val="center"/>
        <w:rPr>
          <w:rFonts w:ascii="Garamond" w:hAnsi="Garamond"/>
          <w:b/>
          <w:sz w:val="25"/>
          <w:szCs w:val="25"/>
        </w:rPr>
      </w:pPr>
      <w:r w:rsidRPr="001E3097">
        <w:rPr>
          <w:rFonts w:ascii="Garamond" w:hAnsi="Garamond"/>
          <w:b/>
          <w:sz w:val="25"/>
          <w:szCs w:val="25"/>
        </w:rPr>
        <w:t>INTRODUCTION</w:t>
      </w:r>
    </w:p>
    <w:p w14:paraId="60EFD502" w14:textId="77777777" w:rsidR="00231A27" w:rsidRPr="001E3097" w:rsidRDefault="00231A27" w:rsidP="00811032">
      <w:pPr>
        <w:ind w:firstLine="720"/>
        <w:jc w:val="center"/>
        <w:rPr>
          <w:rFonts w:ascii="Garamond" w:hAnsi="Garamond"/>
          <w:b/>
          <w:sz w:val="25"/>
          <w:szCs w:val="25"/>
          <w:u w:val="single"/>
        </w:rPr>
      </w:pPr>
    </w:p>
    <w:p w14:paraId="23A9E748" w14:textId="5F2B2D5B" w:rsidR="00981715" w:rsidRPr="001E3097" w:rsidRDefault="001F0276" w:rsidP="00811032">
      <w:pPr>
        <w:spacing w:line="480" w:lineRule="auto"/>
        <w:rPr>
          <w:rFonts w:ascii="Garamond" w:hAnsi="Garamond"/>
          <w:sz w:val="25"/>
          <w:szCs w:val="25"/>
        </w:rPr>
      </w:pPr>
      <w:r w:rsidRPr="001E3097">
        <w:rPr>
          <w:rFonts w:ascii="Garamond" w:hAnsi="Garamond"/>
          <w:sz w:val="25"/>
          <w:szCs w:val="25"/>
        </w:rPr>
        <w:tab/>
        <w:t xml:space="preserve">Defendants Elizabeth Lime </w:t>
      </w:r>
      <w:r w:rsidR="0093374A" w:rsidRPr="001E3097">
        <w:rPr>
          <w:rFonts w:ascii="Garamond" w:hAnsi="Garamond"/>
          <w:sz w:val="25"/>
          <w:szCs w:val="25"/>
        </w:rPr>
        <w:t xml:space="preserve">(“Lime”) </w:t>
      </w:r>
      <w:r w:rsidRPr="001E3097">
        <w:rPr>
          <w:rFonts w:ascii="Garamond" w:hAnsi="Garamond"/>
          <w:sz w:val="25"/>
          <w:szCs w:val="25"/>
        </w:rPr>
        <w:t xml:space="preserve">and TinyTV, Inc. </w:t>
      </w:r>
      <w:r w:rsidR="004B7A02" w:rsidRPr="001E3097">
        <w:rPr>
          <w:rFonts w:ascii="Garamond" w:hAnsi="Garamond"/>
          <w:sz w:val="25"/>
          <w:szCs w:val="25"/>
        </w:rPr>
        <w:t xml:space="preserve">(“TinyTV”) </w:t>
      </w:r>
      <w:r w:rsidR="004C313F" w:rsidRPr="001E3097">
        <w:rPr>
          <w:rFonts w:ascii="Garamond" w:hAnsi="Garamond"/>
          <w:sz w:val="25"/>
          <w:szCs w:val="25"/>
        </w:rPr>
        <w:t>submit this Memorandum</w:t>
      </w:r>
      <w:r w:rsidR="004D7E3D" w:rsidRPr="001E3097">
        <w:rPr>
          <w:rFonts w:ascii="Garamond" w:hAnsi="Garamond"/>
          <w:sz w:val="25"/>
          <w:szCs w:val="25"/>
        </w:rPr>
        <w:t xml:space="preserve"> in support of their Motion to Dismiss </w:t>
      </w:r>
      <w:r w:rsidR="0014490D" w:rsidRPr="001E3097">
        <w:rPr>
          <w:rFonts w:ascii="Garamond" w:hAnsi="Garamond"/>
          <w:sz w:val="25"/>
          <w:szCs w:val="25"/>
        </w:rPr>
        <w:t xml:space="preserve">Plaintiff’s complaint under Fed. R. Civ. P. 12(b)(6) </w:t>
      </w:r>
      <w:r w:rsidR="004D7E3D" w:rsidRPr="001E3097">
        <w:rPr>
          <w:rFonts w:ascii="Garamond" w:hAnsi="Garamond"/>
          <w:sz w:val="25"/>
          <w:szCs w:val="25"/>
        </w:rPr>
        <w:t>for failure to state a claim u</w:t>
      </w:r>
      <w:r w:rsidR="0014490D" w:rsidRPr="001E3097">
        <w:rPr>
          <w:rFonts w:ascii="Garamond" w:hAnsi="Garamond"/>
          <w:sz w:val="25"/>
          <w:szCs w:val="25"/>
        </w:rPr>
        <w:t xml:space="preserve">pon which relief can be granted. </w:t>
      </w:r>
    </w:p>
    <w:p w14:paraId="41711DA5" w14:textId="207C2B96" w:rsidR="0093374A" w:rsidRPr="001E3097" w:rsidRDefault="00E0313F" w:rsidP="00B57FAE">
      <w:pPr>
        <w:spacing w:line="480" w:lineRule="auto"/>
        <w:rPr>
          <w:rFonts w:ascii="Garamond" w:hAnsi="Garamond" w:cs="Lucida Grande"/>
          <w:color w:val="000000"/>
          <w:sz w:val="25"/>
          <w:szCs w:val="25"/>
        </w:rPr>
      </w:pPr>
      <w:r w:rsidRPr="001E3097">
        <w:rPr>
          <w:rFonts w:ascii="Garamond" w:hAnsi="Garamond"/>
          <w:sz w:val="25"/>
          <w:szCs w:val="25"/>
        </w:rPr>
        <w:tab/>
      </w:r>
      <w:r w:rsidR="00F84CCB" w:rsidRPr="001E3097">
        <w:rPr>
          <w:rFonts w:ascii="Garamond" w:hAnsi="Garamond"/>
          <w:sz w:val="25"/>
          <w:szCs w:val="25"/>
        </w:rPr>
        <w:t xml:space="preserve">In this case, Plaintiff OGS TV Inc. (“OGS”) filed a complaint under the Copyright Act of 1976, 17 U.S.C. </w:t>
      </w:r>
      <w:r w:rsidR="00F84CCB" w:rsidRPr="001E3097">
        <w:rPr>
          <w:rFonts w:ascii="Garamond" w:hAnsi="Garamond" w:cs="Lucida Grande"/>
          <w:color w:val="000000"/>
          <w:sz w:val="25"/>
          <w:szCs w:val="25"/>
        </w:rPr>
        <w:t>§</w:t>
      </w:r>
      <w:r w:rsidR="00E17ED4" w:rsidRPr="001E3097">
        <w:rPr>
          <w:rFonts w:ascii="Garamond" w:hAnsi="Garamond" w:cs="Lucida Grande"/>
          <w:color w:val="000000"/>
          <w:sz w:val="25"/>
          <w:szCs w:val="25"/>
        </w:rPr>
        <w:t>§</w:t>
      </w:r>
      <w:r w:rsidR="00E17ED4">
        <w:rPr>
          <w:rFonts w:ascii="Garamond" w:hAnsi="Garamond" w:cs="Lucida Grande"/>
          <w:color w:val="000000"/>
          <w:sz w:val="25"/>
          <w:szCs w:val="25"/>
        </w:rPr>
        <w:t xml:space="preserve"> 1</w:t>
      </w:r>
      <w:r w:rsidR="00F84CCB" w:rsidRPr="001E3097">
        <w:rPr>
          <w:rFonts w:ascii="Garamond" w:hAnsi="Garamond" w:cs="Lucida Grande"/>
          <w:color w:val="000000"/>
          <w:sz w:val="25"/>
          <w:szCs w:val="25"/>
        </w:rPr>
        <w:t>01</w:t>
      </w:r>
      <w:r w:rsidR="00E17ED4">
        <w:rPr>
          <w:rFonts w:ascii="Garamond" w:hAnsi="Garamond" w:cs="Lucida Grande"/>
          <w:color w:val="000000"/>
          <w:sz w:val="25"/>
          <w:szCs w:val="25"/>
        </w:rPr>
        <w:t xml:space="preserve"> </w:t>
      </w:r>
      <w:r w:rsidR="00E17ED4" w:rsidRPr="00E17ED4">
        <w:rPr>
          <w:rFonts w:ascii="Garamond" w:hAnsi="Garamond" w:cs="Lucida Grande"/>
          <w:i/>
          <w:color w:val="000000"/>
          <w:sz w:val="25"/>
          <w:szCs w:val="25"/>
        </w:rPr>
        <w:t>et seq.</w:t>
      </w:r>
      <w:r w:rsidR="00E20584" w:rsidRPr="001E3097">
        <w:rPr>
          <w:rFonts w:ascii="Garamond" w:hAnsi="Garamond" w:cs="Lucida Grande"/>
          <w:color w:val="000000"/>
          <w:sz w:val="25"/>
          <w:szCs w:val="25"/>
        </w:rPr>
        <w:t xml:space="preserve"> (1976), alleging </w:t>
      </w:r>
      <w:r w:rsidR="00562471" w:rsidRPr="001E3097">
        <w:rPr>
          <w:rFonts w:ascii="Garamond" w:hAnsi="Garamond" w:cs="Lucida Grande"/>
          <w:color w:val="000000"/>
          <w:sz w:val="25"/>
          <w:szCs w:val="25"/>
        </w:rPr>
        <w:t>infringement of its copyright to</w:t>
      </w:r>
      <w:r w:rsidR="00E20584" w:rsidRPr="001E3097">
        <w:rPr>
          <w:rFonts w:ascii="Garamond" w:hAnsi="Garamond" w:cs="Lucida Grande"/>
          <w:color w:val="000000"/>
          <w:sz w:val="25"/>
          <w:szCs w:val="25"/>
        </w:rPr>
        <w:t xml:space="preserve"> a screenplay entitled “Anticipatory Repudiation”</w:t>
      </w:r>
      <w:r w:rsidR="0093374A" w:rsidRPr="001E3097">
        <w:rPr>
          <w:rFonts w:ascii="Garamond" w:hAnsi="Garamond" w:cs="Lucida Grande"/>
          <w:color w:val="000000"/>
          <w:sz w:val="25"/>
          <w:szCs w:val="25"/>
        </w:rPr>
        <w:t xml:space="preserve"> that was written by </w:t>
      </w:r>
      <w:r w:rsidR="0004213F" w:rsidRPr="001E3097">
        <w:rPr>
          <w:rFonts w:ascii="Garamond" w:hAnsi="Garamond" w:cs="Lucida Grande"/>
          <w:color w:val="000000"/>
          <w:sz w:val="25"/>
          <w:szCs w:val="25"/>
        </w:rPr>
        <w:t xml:space="preserve">Lime, who was </w:t>
      </w:r>
      <w:r w:rsidR="004C4C8D" w:rsidRPr="001E3097">
        <w:rPr>
          <w:rFonts w:ascii="Garamond" w:hAnsi="Garamond" w:cs="Lucida Grande"/>
          <w:color w:val="000000"/>
          <w:sz w:val="25"/>
          <w:szCs w:val="25"/>
        </w:rPr>
        <w:t>specially commissioned</w:t>
      </w:r>
      <w:r w:rsidR="0004213F" w:rsidRPr="001E3097">
        <w:rPr>
          <w:rFonts w:ascii="Garamond" w:hAnsi="Garamond" w:cs="Lucida Grande"/>
          <w:color w:val="000000"/>
          <w:sz w:val="25"/>
          <w:szCs w:val="25"/>
        </w:rPr>
        <w:t xml:space="preserve"> by the Plaintiff</w:t>
      </w:r>
      <w:r w:rsidR="004C4C8D" w:rsidRPr="001E3097">
        <w:rPr>
          <w:rFonts w:ascii="Garamond" w:hAnsi="Garamond" w:cs="Lucida Grande"/>
          <w:color w:val="000000"/>
          <w:sz w:val="25"/>
          <w:szCs w:val="25"/>
        </w:rPr>
        <w:t xml:space="preserve">. OGS claims ownership of the screenplay based on a </w:t>
      </w:r>
      <w:r w:rsidR="0093374A" w:rsidRPr="001E3097">
        <w:rPr>
          <w:rFonts w:ascii="Garamond" w:hAnsi="Garamond" w:cs="Lucida Grande"/>
          <w:color w:val="000000"/>
          <w:sz w:val="25"/>
          <w:szCs w:val="25"/>
        </w:rPr>
        <w:t>purported “</w:t>
      </w:r>
      <w:r w:rsidR="004C4C8D" w:rsidRPr="001E3097">
        <w:rPr>
          <w:rFonts w:ascii="Garamond" w:hAnsi="Garamond" w:cs="Lucida Grande"/>
          <w:color w:val="000000"/>
          <w:sz w:val="25"/>
          <w:szCs w:val="25"/>
        </w:rPr>
        <w:t>work made for hire</w:t>
      </w:r>
      <w:r w:rsidR="0093374A" w:rsidRPr="001E3097">
        <w:rPr>
          <w:rFonts w:ascii="Garamond" w:hAnsi="Garamond" w:cs="Lucida Grande"/>
          <w:color w:val="000000"/>
          <w:sz w:val="25"/>
          <w:szCs w:val="25"/>
        </w:rPr>
        <w:t>”</w:t>
      </w:r>
      <w:r w:rsidR="004C4C8D" w:rsidRPr="001E3097">
        <w:rPr>
          <w:rFonts w:ascii="Garamond" w:hAnsi="Garamond" w:cs="Lucida Grande"/>
          <w:color w:val="000000"/>
          <w:sz w:val="25"/>
          <w:szCs w:val="25"/>
        </w:rPr>
        <w:t xml:space="preserve"> agreement</w:t>
      </w:r>
      <w:r w:rsidR="00F84CCB" w:rsidRPr="001E3097">
        <w:rPr>
          <w:rFonts w:ascii="Garamond" w:hAnsi="Garamond" w:cs="Lucida Grande"/>
          <w:color w:val="000000"/>
          <w:sz w:val="25"/>
          <w:szCs w:val="25"/>
        </w:rPr>
        <w:t xml:space="preserve"> </w:t>
      </w:r>
      <w:r w:rsidR="0004213F" w:rsidRPr="001E3097">
        <w:rPr>
          <w:rFonts w:ascii="Garamond" w:hAnsi="Garamond" w:cs="Lucida Grande"/>
          <w:color w:val="000000"/>
          <w:sz w:val="25"/>
          <w:szCs w:val="25"/>
        </w:rPr>
        <w:t xml:space="preserve">signed after the creation </w:t>
      </w:r>
      <w:r w:rsidR="004C4C8D" w:rsidRPr="001E3097">
        <w:rPr>
          <w:rFonts w:ascii="Garamond" w:hAnsi="Garamond" w:cs="Lucida Grande"/>
          <w:color w:val="000000"/>
          <w:sz w:val="25"/>
          <w:szCs w:val="25"/>
        </w:rPr>
        <w:t xml:space="preserve">of the screenplay. </w:t>
      </w:r>
    </w:p>
    <w:p w14:paraId="31C2BE71" w14:textId="2CA802B9" w:rsidR="00B57FAE" w:rsidRPr="001E3097" w:rsidRDefault="004B7A02" w:rsidP="0093374A">
      <w:pPr>
        <w:spacing w:line="480" w:lineRule="auto"/>
        <w:ind w:firstLine="720"/>
        <w:rPr>
          <w:rFonts w:ascii="Garamond" w:hAnsi="Garamond"/>
          <w:sz w:val="25"/>
          <w:szCs w:val="25"/>
          <w:u w:val="single"/>
        </w:rPr>
      </w:pPr>
      <w:r w:rsidRPr="001E3097">
        <w:rPr>
          <w:rFonts w:ascii="Garamond" w:hAnsi="Garamond" w:cs="Lucida Grande"/>
          <w:color w:val="000000"/>
          <w:sz w:val="25"/>
          <w:szCs w:val="25"/>
        </w:rPr>
        <w:t xml:space="preserve">Lime and TinyTV </w:t>
      </w:r>
      <w:r w:rsidR="006D5140" w:rsidRPr="001E3097">
        <w:rPr>
          <w:rFonts w:ascii="Garamond" w:hAnsi="Garamond" w:cs="Lucida Grande"/>
          <w:color w:val="000000"/>
          <w:sz w:val="25"/>
          <w:szCs w:val="25"/>
        </w:rPr>
        <w:t xml:space="preserve">ask the Court to grant their Rule 12(b)(6) motion to dismiss </w:t>
      </w:r>
      <w:r w:rsidR="00E0393E" w:rsidRPr="001E3097">
        <w:rPr>
          <w:rFonts w:ascii="Garamond" w:hAnsi="Garamond" w:cs="Lucida Grande"/>
          <w:color w:val="000000"/>
          <w:sz w:val="25"/>
          <w:szCs w:val="25"/>
        </w:rPr>
        <w:t xml:space="preserve">with prejudice </w:t>
      </w:r>
      <w:r w:rsidR="006D5140" w:rsidRPr="001E3097">
        <w:rPr>
          <w:rFonts w:ascii="Garamond" w:hAnsi="Garamond" w:cs="Lucida Grande"/>
          <w:color w:val="000000"/>
          <w:sz w:val="25"/>
          <w:szCs w:val="25"/>
        </w:rPr>
        <w:t xml:space="preserve">because </w:t>
      </w:r>
      <w:r w:rsidR="00562471" w:rsidRPr="001E3097">
        <w:rPr>
          <w:rFonts w:ascii="Garamond" w:hAnsi="Garamond" w:cs="Lucida Grande"/>
          <w:color w:val="000000"/>
          <w:sz w:val="25"/>
          <w:szCs w:val="25"/>
        </w:rPr>
        <w:t xml:space="preserve">Plaintiff and Lime did not </w:t>
      </w:r>
      <w:r w:rsidR="003F0019" w:rsidRPr="001E3097">
        <w:rPr>
          <w:rFonts w:ascii="Garamond" w:hAnsi="Garamond" w:cs="Lucida Grande"/>
          <w:color w:val="000000"/>
          <w:sz w:val="25"/>
          <w:szCs w:val="25"/>
        </w:rPr>
        <w:t xml:space="preserve">expressly agree in a written instrument signed by both of them that the </w:t>
      </w:r>
      <w:r w:rsidR="00607C69" w:rsidRPr="001E3097">
        <w:rPr>
          <w:rFonts w:ascii="Garamond" w:hAnsi="Garamond" w:cs="Lucida Grande"/>
          <w:color w:val="000000"/>
          <w:sz w:val="25"/>
          <w:szCs w:val="25"/>
        </w:rPr>
        <w:t>screenplay</w:t>
      </w:r>
      <w:r w:rsidR="003F0019" w:rsidRPr="001E3097">
        <w:rPr>
          <w:rFonts w:ascii="Garamond" w:hAnsi="Garamond" w:cs="Lucida Grande"/>
          <w:color w:val="000000"/>
          <w:sz w:val="25"/>
          <w:szCs w:val="25"/>
        </w:rPr>
        <w:t xml:space="preserve"> </w:t>
      </w:r>
      <w:r w:rsidR="00562471" w:rsidRPr="001E3097">
        <w:rPr>
          <w:rFonts w:ascii="Garamond" w:hAnsi="Garamond" w:cs="Lucida Grande"/>
          <w:color w:val="000000"/>
          <w:sz w:val="25"/>
          <w:szCs w:val="25"/>
        </w:rPr>
        <w:t>would be</w:t>
      </w:r>
      <w:r w:rsidR="003F0019" w:rsidRPr="001E3097">
        <w:rPr>
          <w:rFonts w:ascii="Garamond" w:hAnsi="Garamond" w:cs="Lucida Grande"/>
          <w:color w:val="000000"/>
          <w:sz w:val="25"/>
          <w:szCs w:val="25"/>
        </w:rPr>
        <w:t xml:space="preserve"> considered a work made for hire prior to the </w:t>
      </w:r>
      <w:r w:rsidR="00607C69" w:rsidRPr="001E3097">
        <w:rPr>
          <w:rFonts w:ascii="Garamond" w:hAnsi="Garamond" w:cs="Lucida Grande"/>
          <w:color w:val="000000"/>
          <w:sz w:val="25"/>
          <w:szCs w:val="25"/>
        </w:rPr>
        <w:t>completion and delivery of the screenplay</w:t>
      </w:r>
      <w:r w:rsidR="00E0393E" w:rsidRPr="001E3097">
        <w:rPr>
          <w:rFonts w:ascii="Garamond" w:hAnsi="Garamond" w:cs="Lucida Grande"/>
          <w:color w:val="000000"/>
          <w:sz w:val="25"/>
          <w:szCs w:val="25"/>
        </w:rPr>
        <w:t>. Consequently,</w:t>
      </w:r>
      <w:r w:rsidR="00607C69" w:rsidRPr="001E3097">
        <w:rPr>
          <w:rFonts w:ascii="Garamond" w:hAnsi="Garamond" w:cs="Lucida Grande"/>
          <w:color w:val="000000"/>
          <w:sz w:val="25"/>
          <w:szCs w:val="25"/>
        </w:rPr>
        <w:t xml:space="preserve"> the screenplay was not a work made for hire within the meaning of 17 U.S.C. § 101</w:t>
      </w:r>
      <w:r w:rsidR="002D5B12" w:rsidRPr="001E3097">
        <w:rPr>
          <w:rFonts w:ascii="Garamond" w:hAnsi="Garamond" w:cs="Lucida Grande"/>
          <w:color w:val="000000"/>
          <w:sz w:val="25"/>
          <w:szCs w:val="25"/>
        </w:rPr>
        <w:t>(2)</w:t>
      </w:r>
      <w:r w:rsidR="00607C69" w:rsidRPr="001E3097">
        <w:rPr>
          <w:rFonts w:ascii="Garamond" w:hAnsi="Garamond" w:cs="Lucida Grande"/>
          <w:color w:val="000000"/>
          <w:sz w:val="25"/>
          <w:szCs w:val="25"/>
        </w:rPr>
        <w:t xml:space="preserve">. Thus, Elizabeth Lime is the writer, creator, </w:t>
      </w:r>
      <w:r w:rsidR="00607C69" w:rsidRPr="001E3097">
        <w:rPr>
          <w:rFonts w:ascii="Garamond" w:hAnsi="Garamond" w:cs="Lucida Grande"/>
          <w:color w:val="000000"/>
          <w:sz w:val="25"/>
          <w:szCs w:val="25"/>
        </w:rPr>
        <w:lastRenderedPageBreak/>
        <w:t>and author of the work, and owns all of the rights comprised in the copyright. In the absence of any ownership of copyright for the screenp</w:t>
      </w:r>
      <w:r w:rsidR="00E0393E" w:rsidRPr="001E3097">
        <w:rPr>
          <w:rFonts w:ascii="Garamond" w:hAnsi="Garamond" w:cs="Lucida Grande"/>
          <w:color w:val="000000"/>
          <w:sz w:val="25"/>
          <w:szCs w:val="25"/>
        </w:rPr>
        <w:t>lay “Anticipatory Repudiation</w:t>
      </w:r>
      <w:r w:rsidR="0093374A" w:rsidRPr="001E3097">
        <w:rPr>
          <w:rFonts w:ascii="Garamond" w:hAnsi="Garamond" w:cs="Lucida Grande"/>
          <w:color w:val="000000"/>
          <w:sz w:val="25"/>
          <w:szCs w:val="25"/>
        </w:rPr>
        <w:t>”</w:t>
      </w:r>
      <w:r w:rsidR="00E0393E" w:rsidRPr="001E3097">
        <w:rPr>
          <w:rFonts w:ascii="Garamond" w:hAnsi="Garamond" w:cs="Lucida Grande"/>
          <w:color w:val="000000"/>
          <w:sz w:val="25"/>
          <w:szCs w:val="25"/>
        </w:rPr>
        <w:t>,</w:t>
      </w:r>
      <w:r w:rsidR="0093374A" w:rsidRPr="001E3097">
        <w:rPr>
          <w:rFonts w:ascii="Garamond" w:hAnsi="Garamond" w:cs="Lucida Grande"/>
          <w:color w:val="000000"/>
          <w:sz w:val="25"/>
          <w:szCs w:val="25"/>
        </w:rPr>
        <w:t xml:space="preserve"> </w:t>
      </w:r>
      <w:r w:rsidR="00607C69" w:rsidRPr="001E3097">
        <w:rPr>
          <w:rFonts w:ascii="Garamond" w:hAnsi="Garamond" w:cs="Lucida Grande"/>
          <w:color w:val="000000"/>
          <w:sz w:val="25"/>
          <w:szCs w:val="25"/>
        </w:rPr>
        <w:t xml:space="preserve">OGS </w:t>
      </w:r>
      <w:r w:rsidR="006062F1" w:rsidRPr="001E3097">
        <w:rPr>
          <w:rFonts w:ascii="Garamond" w:hAnsi="Garamond" w:cs="Lucida Grande"/>
          <w:color w:val="000000"/>
          <w:sz w:val="25"/>
          <w:szCs w:val="25"/>
        </w:rPr>
        <w:t xml:space="preserve">cannot recover from or enjoin Elizabeth Lime and TinyTV in the legal use of Elizabeth Lime’s intellectual property. </w:t>
      </w:r>
      <w:r w:rsidR="008A54BE" w:rsidRPr="001E3097">
        <w:rPr>
          <w:rFonts w:ascii="Garamond" w:hAnsi="Garamond" w:cs="Lucida Grande"/>
          <w:color w:val="000000"/>
          <w:sz w:val="25"/>
          <w:szCs w:val="25"/>
        </w:rPr>
        <w:t>T</w:t>
      </w:r>
      <w:r w:rsidR="0093374A" w:rsidRPr="001E3097">
        <w:rPr>
          <w:rFonts w:ascii="Garamond" w:hAnsi="Garamond" w:cs="Lucida Grande"/>
          <w:color w:val="000000"/>
          <w:sz w:val="25"/>
          <w:szCs w:val="25"/>
        </w:rPr>
        <w:t>he</w:t>
      </w:r>
      <w:r w:rsidR="00E0393E" w:rsidRPr="001E3097">
        <w:rPr>
          <w:rFonts w:ascii="Garamond" w:hAnsi="Garamond" w:cs="Lucida Grande"/>
          <w:color w:val="000000"/>
          <w:sz w:val="25"/>
          <w:szCs w:val="25"/>
        </w:rPr>
        <w:t xml:space="preserve">refore, the Court should grant Defendants’ </w:t>
      </w:r>
      <w:r w:rsidR="0093374A" w:rsidRPr="001E3097">
        <w:rPr>
          <w:rFonts w:ascii="Garamond" w:hAnsi="Garamond" w:cs="Lucida Grande"/>
          <w:color w:val="000000"/>
          <w:sz w:val="25"/>
          <w:szCs w:val="25"/>
        </w:rPr>
        <w:t xml:space="preserve">motion to dismiss. </w:t>
      </w:r>
    </w:p>
    <w:p w14:paraId="5DF4F727" w14:textId="4CAE3E77" w:rsidR="000115B5" w:rsidRPr="001E3097" w:rsidRDefault="00E8690C" w:rsidP="00B57FAE">
      <w:pPr>
        <w:spacing w:line="480" w:lineRule="auto"/>
        <w:jc w:val="center"/>
        <w:rPr>
          <w:rFonts w:ascii="Garamond" w:hAnsi="Garamond"/>
          <w:b/>
          <w:sz w:val="25"/>
          <w:szCs w:val="25"/>
        </w:rPr>
      </w:pPr>
      <w:r w:rsidRPr="001E3097">
        <w:rPr>
          <w:rFonts w:ascii="Garamond" w:hAnsi="Garamond"/>
          <w:b/>
          <w:sz w:val="25"/>
          <w:szCs w:val="25"/>
        </w:rPr>
        <w:t>FACTS</w:t>
      </w:r>
    </w:p>
    <w:p w14:paraId="5498519B" w14:textId="6CC3943D" w:rsidR="00525CEA" w:rsidRPr="001E3097" w:rsidRDefault="00E8690C" w:rsidP="00B57FAE">
      <w:pPr>
        <w:spacing w:line="480" w:lineRule="auto"/>
        <w:rPr>
          <w:rFonts w:ascii="Garamond" w:hAnsi="Garamond"/>
          <w:sz w:val="25"/>
          <w:szCs w:val="25"/>
        </w:rPr>
      </w:pPr>
      <w:r w:rsidRPr="001E3097">
        <w:rPr>
          <w:rFonts w:ascii="Garamond" w:hAnsi="Garamond"/>
          <w:sz w:val="25"/>
          <w:szCs w:val="25"/>
        </w:rPr>
        <w:tab/>
      </w:r>
      <w:r w:rsidR="00DA3EC9" w:rsidRPr="001E3097">
        <w:rPr>
          <w:rFonts w:ascii="Garamond" w:hAnsi="Garamond"/>
          <w:sz w:val="25"/>
          <w:szCs w:val="25"/>
        </w:rPr>
        <w:t>Defendant Elizabeth Lime is a well-known</w:t>
      </w:r>
      <w:r w:rsidR="0004213F" w:rsidRPr="001E3097">
        <w:rPr>
          <w:rFonts w:ascii="Garamond" w:hAnsi="Garamond"/>
          <w:sz w:val="25"/>
          <w:szCs w:val="25"/>
        </w:rPr>
        <w:t xml:space="preserve"> screenplay</w:t>
      </w:r>
      <w:r w:rsidR="00DA3EC9" w:rsidRPr="001E3097">
        <w:rPr>
          <w:rFonts w:ascii="Garamond" w:hAnsi="Garamond"/>
          <w:sz w:val="25"/>
          <w:szCs w:val="25"/>
        </w:rPr>
        <w:t xml:space="preserve"> writer with more than fifteen years of experience </w:t>
      </w:r>
      <w:r w:rsidR="009815A3" w:rsidRPr="001E3097">
        <w:rPr>
          <w:rFonts w:ascii="Garamond" w:hAnsi="Garamond"/>
          <w:sz w:val="25"/>
          <w:szCs w:val="25"/>
        </w:rPr>
        <w:t>as a writer</w:t>
      </w:r>
      <w:r w:rsidR="00DA3EC9" w:rsidRPr="001E3097">
        <w:rPr>
          <w:rFonts w:ascii="Garamond" w:hAnsi="Garamond"/>
          <w:sz w:val="25"/>
          <w:szCs w:val="25"/>
        </w:rPr>
        <w:t xml:space="preserve"> for television. </w:t>
      </w:r>
      <w:r w:rsidR="001C17E9" w:rsidRPr="001E3097">
        <w:rPr>
          <w:rFonts w:ascii="Garamond" w:hAnsi="Garamond"/>
          <w:sz w:val="25"/>
          <w:szCs w:val="25"/>
        </w:rPr>
        <w:t xml:space="preserve">(Compl. </w:t>
      </w:r>
      <w:r w:rsidR="001C17E9" w:rsidRPr="001E3097">
        <w:rPr>
          <w:rFonts w:ascii="Garamond" w:hAnsi="Garamond"/>
          <w:color w:val="000000"/>
          <w:sz w:val="25"/>
          <w:szCs w:val="25"/>
        </w:rPr>
        <w:t>¶</w:t>
      </w:r>
      <w:r w:rsidR="001C17E9" w:rsidRPr="001E3097">
        <w:rPr>
          <w:rFonts w:ascii="Garamond" w:hAnsi="Garamond"/>
          <w:sz w:val="25"/>
          <w:szCs w:val="25"/>
        </w:rPr>
        <w:t xml:space="preserve"> 11) </w:t>
      </w:r>
      <w:r w:rsidR="00DA3EC9" w:rsidRPr="001E3097">
        <w:rPr>
          <w:rFonts w:ascii="Garamond" w:hAnsi="Garamond"/>
          <w:sz w:val="25"/>
          <w:szCs w:val="25"/>
        </w:rPr>
        <w:t xml:space="preserve">Lime has written screenplays for the </w:t>
      </w:r>
      <w:r w:rsidR="00613DCA" w:rsidRPr="001E3097">
        <w:rPr>
          <w:rFonts w:ascii="Garamond" w:hAnsi="Garamond"/>
          <w:sz w:val="25"/>
          <w:szCs w:val="25"/>
        </w:rPr>
        <w:t>shows</w:t>
      </w:r>
      <w:r w:rsidR="00DA3EC9" w:rsidRPr="001E3097">
        <w:rPr>
          <w:rFonts w:ascii="Garamond" w:hAnsi="Garamond"/>
          <w:sz w:val="25"/>
          <w:szCs w:val="25"/>
        </w:rPr>
        <w:t xml:space="preserve"> </w:t>
      </w:r>
      <w:r w:rsidR="00DA3EC9" w:rsidRPr="001E3097">
        <w:rPr>
          <w:rFonts w:ascii="Garamond" w:hAnsi="Garamond"/>
          <w:i/>
          <w:sz w:val="25"/>
          <w:szCs w:val="25"/>
        </w:rPr>
        <w:t>The Adventures of Wally Mondale</w:t>
      </w:r>
      <w:r w:rsidR="00DA3EC9" w:rsidRPr="001E3097">
        <w:rPr>
          <w:rFonts w:ascii="Garamond" w:hAnsi="Garamond"/>
          <w:sz w:val="25"/>
          <w:szCs w:val="25"/>
        </w:rPr>
        <w:t xml:space="preserve">, </w:t>
      </w:r>
      <w:r w:rsidR="0093374A" w:rsidRPr="001E3097">
        <w:rPr>
          <w:rFonts w:ascii="Garamond" w:hAnsi="Garamond"/>
          <w:i/>
          <w:sz w:val="25"/>
          <w:szCs w:val="25"/>
        </w:rPr>
        <w:t>CYB</w:t>
      </w:r>
      <w:r w:rsidR="00DA3EC9" w:rsidRPr="001E3097">
        <w:rPr>
          <w:rFonts w:ascii="Garamond" w:hAnsi="Garamond"/>
          <w:i/>
          <w:sz w:val="25"/>
          <w:szCs w:val="25"/>
        </w:rPr>
        <w:t>ERTORTS!</w:t>
      </w:r>
      <w:r w:rsidR="00DA3EC9" w:rsidRPr="001E3097">
        <w:rPr>
          <w:rFonts w:ascii="Garamond" w:hAnsi="Garamond"/>
          <w:sz w:val="25"/>
          <w:szCs w:val="25"/>
        </w:rPr>
        <w:t xml:space="preserve">, </w:t>
      </w:r>
      <w:r w:rsidR="00613DCA" w:rsidRPr="001E3097">
        <w:rPr>
          <w:rFonts w:ascii="Garamond" w:hAnsi="Garamond"/>
          <w:sz w:val="25"/>
          <w:szCs w:val="25"/>
        </w:rPr>
        <w:t xml:space="preserve">and </w:t>
      </w:r>
      <w:r w:rsidR="00DA3EC9" w:rsidRPr="001E3097">
        <w:rPr>
          <w:rFonts w:ascii="Garamond" w:hAnsi="Garamond"/>
          <w:i/>
          <w:sz w:val="25"/>
          <w:szCs w:val="25"/>
        </w:rPr>
        <w:t>Bubbles</w:t>
      </w:r>
      <w:r w:rsidR="00DA3EC9" w:rsidRPr="001E3097">
        <w:rPr>
          <w:rFonts w:ascii="Garamond" w:hAnsi="Garamond"/>
          <w:sz w:val="25"/>
          <w:szCs w:val="25"/>
        </w:rPr>
        <w:t xml:space="preserve">. </w:t>
      </w:r>
      <w:r w:rsidR="001C17E9" w:rsidRPr="001E3097">
        <w:rPr>
          <w:rFonts w:ascii="Garamond" w:hAnsi="Garamond"/>
          <w:sz w:val="25"/>
          <w:szCs w:val="25"/>
        </w:rPr>
        <w:t xml:space="preserve">(Compl. </w:t>
      </w:r>
      <w:r w:rsidR="001C17E9" w:rsidRPr="001E3097">
        <w:rPr>
          <w:rFonts w:ascii="Garamond" w:hAnsi="Garamond"/>
          <w:color w:val="000000"/>
          <w:sz w:val="25"/>
          <w:szCs w:val="25"/>
        </w:rPr>
        <w:t>¶ 20)</w:t>
      </w:r>
      <w:r w:rsidR="00F42A4B" w:rsidRPr="001E3097">
        <w:rPr>
          <w:rFonts w:ascii="Garamond" w:hAnsi="Garamond"/>
          <w:color w:val="000000"/>
          <w:sz w:val="25"/>
          <w:szCs w:val="25"/>
        </w:rPr>
        <w:t xml:space="preserve"> </w:t>
      </w:r>
      <w:r w:rsidR="00525CEA" w:rsidRPr="001E3097">
        <w:rPr>
          <w:rFonts w:ascii="Garamond" w:hAnsi="Garamond"/>
          <w:sz w:val="25"/>
          <w:szCs w:val="25"/>
        </w:rPr>
        <w:t>On March 27, 2010,</w:t>
      </w:r>
      <w:r w:rsidR="00B620C7" w:rsidRPr="001E3097">
        <w:rPr>
          <w:rFonts w:ascii="Garamond" w:hAnsi="Garamond"/>
          <w:sz w:val="25"/>
          <w:szCs w:val="25"/>
        </w:rPr>
        <w:t xml:space="preserve"> Plaintiff OGS</w:t>
      </w:r>
      <w:r w:rsidR="00F84CCB" w:rsidRPr="001E3097">
        <w:rPr>
          <w:rFonts w:ascii="Garamond" w:hAnsi="Garamond"/>
          <w:sz w:val="25"/>
          <w:szCs w:val="25"/>
        </w:rPr>
        <w:t xml:space="preserve"> </w:t>
      </w:r>
      <w:r w:rsidR="00525CEA" w:rsidRPr="001E3097">
        <w:rPr>
          <w:rFonts w:ascii="Garamond" w:hAnsi="Garamond"/>
          <w:sz w:val="25"/>
          <w:szCs w:val="25"/>
        </w:rPr>
        <w:t xml:space="preserve">contacted Lime to specially commission from her a screenplay for one episode of </w:t>
      </w:r>
      <w:r w:rsidR="00525CEA" w:rsidRPr="001E3097">
        <w:rPr>
          <w:rFonts w:ascii="Garamond" w:hAnsi="Garamond"/>
          <w:i/>
          <w:sz w:val="25"/>
          <w:szCs w:val="25"/>
        </w:rPr>
        <w:t>Lawless Love</w:t>
      </w:r>
      <w:r w:rsidR="00525CEA" w:rsidRPr="001E3097">
        <w:rPr>
          <w:rFonts w:ascii="Garamond" w:hAnsi="Garamond"/>
          <w:sz w:val="25"/>
          <w:szCs w:val="25"/>
        </w:rPr>
        <w:t xml:space="preserve">, a </w:t>
      </w:r>
      <w:r w:rsidR="00613DCA" w:rsidRPr="001E3097">
        <w:rPr>
          <w:rFonts w:ascii="Garamond" w:hAnsi="Garamond"/>
          <w:sz w:val="25"/>
          <w:szCs w:val="25"/>
        </w:rPr>
        <w:t>show</w:t>
      </w:r>
      <w:r w:rsidR="000115B5" w:rsidRPr="001E3097">
        <w:rPr>
          <w:rFonts w:ascii="Garamond" w:hAnsi="Garamond"/>
          <w:sz w:val="25"/>
          <w:szCs w:val="25"/>
        </w:rPr>
        <w:t xml:space="preserve"> created by </w:t>
      </w:r>
      <w:r w:rsidR="008A54BE" w:rsidRPr="001E3097">
        <w:rPr>
          <w:rFonts w:ascii="Garamond" w:hAnsi="Garamond"/>
          <w:sz w:val="25"/>
          <w:szCs w:val="25"/>
        </w:rPr>
        <w:t xml:space="preserve">the </w:t>
      </w:r>
      <w:r w:rsidR="000115B5" w:rsidRPr="001E3097">
        <w:rPr>
          <w:rFonts w:ascii="Garamond" w:hAnsi="Garamond"/>
          <w:sz w:val="25"/>
          <w:szCs w:val="25"/>
        </w:rPr>
        <w:t>Plaintiff</w:t>
      </w:r>
      <w:r w:rsidR="00525CEA" w:rsidRPr="001E3097">
        <w:rPr>
          <w:rFonts w:ascii="Garamond" w:hAnsi="Garamond"/>
          <w:sz w:val="25"/>
          <w:szCs w:val="25"/>
        </w:rPr>
        <w:t xml:space="preserve">. </w:t>
      </w:r>
      <w:r w:rsidR="009E55AB" w:rsidRPr="001E3097">
        <w:rPr>
          <w:rFonts w:ascii="Garamond" w:hAnsi="Garamond"/>
          <w:sz w:val="25"/>
          <w:szCs w:val="25"/>
        </w:rPr>
        <w:t xml:space="preserve">(Compl. </w:t>
      </w:r>
      <w:r w:rsidR="00093530" w:rsidRPr="001E3097">
        <w:rPr>
          <w:rFonts w:ascii="Garamond" w:hAnsi="Garamond"/>
          <w:color w:val="000000"/>
          <w:sz w:val="25"/>
          <w:szCs w:val="25"/>
        </w:rPr>
        <w:t>¶</w:t>
      </w:r>
      <w:r w:rsidR="009E55AB" w:rsidRPr="001E3097">
        <w:rPr>
          <w:rFonts w:ascii="Garamond" w:hAnsi="Garamond"/>
          <w:color w:val="000000"/>
          <w:sz w:val="25"/>
          <w:szCs w:val="25"/>
        </w:rPr>
        <w:t xml:space="preserve">¶ 5, 9) </w:t>
      </w:r>
      <w:r w:rsidR="00115E26" w:rsidRPr="001E3097">
        <w:rPr>
          <w:rFonts w:ascii="Garamond" w:hAnsi="Garamond"/>
          <w:sz w:val="25"/>
          <w:szCs w:val="25"/>
        </w:rPr>
        <w:t>Plaintiff had previously hired eight writers as regular employees to prepare the s</w:t>
      </w:r>
      <w:r w:rsidR="000115B5" w:rsidRPr="001E3097">
        <w:rPr>
          <w:rFonts w:ascii="Garamond" w:hAnsi="Garamond"/>
          <w:sz w:val="25"/>
          <w:szCs w:val="25"/>
        </w:rPr>
        <w:t xml:space="preserve">creenplays for </w:t>
      </w:r>
      <w:r w:rsidR="000115B5" w:rsidRPr="001E3097">
        <w:rPr>
          <w:rFonts w:ascii="Garamond" w:hAnsi="Garamond"/>
          <w:i/>
          <w:sz w:val="25"/>
          <w:szCs w:val="25"/>
        </w:rPr>
        <w:t>Lawless Love</w:t>
      </w:r>
      <w:r w:rsidR="000115B5" w:rsidRPr="001E3097">
        <w:rPr>
          <w:rFonts w:ascii="Garamond" w:hAnsi="Garamond"/>
          <w:sz w:val="25"/>
          <w:szCs w:val="25"/>
        </w:rPr>
        <w:t xml:space="preserve">, and those writers had prepared screenplays for </w:t>
      </w:r>
      <w:r w:rsidR="00093530" w:rsidRPr="001E3097">
        <w:rPr>
          <w:rFonts w:ascii="Garamond" w:hAnsi="Garamond"/>
          <w:sz w:val="25"/>
          <w:szCs w:val="25"/>
        </w:rPr>
        <w:t>thirty-nine</w:t>
      </w:r>
      <w:r w:rsidR="000115B5" w:rsidRPr="001E3097">
        <w:rPr>
          <w:rFonts w:ascii="Garamond" w:hAnsi="Garamond"/>
          <w:sz w:val="25"/>
          <w:szCs w:val="25"/>
        </w:rPr>
        <w:t xml:space="preserve"> episodes. </w:t>
      </w:r>
      <w:r w:rsidR="00093530" w:rsidRPr="001E3097">
        <w:rPr>
          <w:rFonts w:ascii="Garamond" w:hAnsi="Garamond"/>
          <w:sz w:val="25"/>
          <w:szCs w:val="25"/>
        </w:rPr>
        <w:t xml:space="preserve">(Compl. </w:t>
      </w:r>
      <w:r w:rsidR="00093530" w:rsidRPr="001E3097">
        <w:rPr>
          <w:rFonts w:ascii="Garamond" w:hAnsi="Garamond"/>
          <w:color w:val="000000"/>
          <w:sz w:val="25"/>
          <w:szCs w:val="25"/>
        </w:rPr>
        <w:t xml:space="preserve">¶ 5) </w:t>
      </w:r>
      <w:r w:rsidR="000115B5" w:rsidRPr="001E3097">
        <w:rPr>
          <w:rFonts w:ascii="Garamond" w:hAnsi="Garamond"/>
          <w:sz w:val="25"/>
          <w:szCs w:val="25"/>
        </w:rPr>
        <w:t>On March 27, 2010, Dave Nelson</w:t>
      </w:r>
      <w:r w:rsidR="008A61D8" w:rsidRPr="001E3097">
        <w:rPr>
          <w:rFonts w:ascii="Garamond" w:hAnsi="Garamond"/>
          <w:sz w:val="25"/>
          <w:szCs w:val="25"/>
        </w:rPr>
        <w:t xml:space="preserve"> (“Nelson”)</w:t>
      </w:r>
      <w:r w:rsidR="000115B5" w:rsidRPr="001E3097">
        <w:rPr>
          <w:rFonts w:ascii="Garamond" w:hAnsi="Garamond"/>
          <w:sz w:val="25"/>
          <w:szCs w:val="25"/>
        </w:rPr>
        <w:t xml:space="preserve">, executive producer of </w:t>
      </w:r>
      <w:r w:rsidR="000115B5" w:rsidRPr="001E3097">
        <w:rPr>
          <w:rFonts w:ascii="Garamond" w:hAnsi="Garamond"/>
          <w:i/>
          <w:sz w:val="25"/>
          <w:szCs w:val="25"/>
        </w:rPr>
        <w:t>Lawless Love</w:t>
      </w:r>
      <w:r w:rsidR="000115B5" w:rsidRPr="001E3097">
        <w:rPr>
          <w:rFonts w:ascii="Garamond" w:hAnsi="Garamond"/>
          <w:sz w:val="25"/>
          <w:szCs w:val="25"/>
        </w:rPr>
        <w:t xml:space="preserve"> and an employee and agent of Plaintiff, met with Lime</w:t>
      </w:r>
      <w:r w:rsidR="006F48C0" w:rsidRPr="001E3097">
        <w:rPr>
          <w:rFonts w:ascii="Garamond" w:hAnsi="Garamond"/>
          <w:sz w:val="25"/>
          <w:szCs w:val="25"/>
        </w:rPr>
        <w:t xml:space="preserve"> at OGS offices</w:t>
      </w:r>
      <w:r w:rsidR="00093530" w:rsidRPr="001E3097">
        <w:rPr>
          <w:rFonts w:ascii="Garamond" w:hAnsi="Garamond"/>
          <w:sz w:val="25"/>
          <w:szCs w:val="25"/>
        </w:rPr>
        <w:t xml:space="preserve"> to discuss Lime’s preparing a screenplay</w:t>
      </w:r>
      <w:r w:rsidR="000115B5" w:rsidRPr="001E3097">
        <w:rPr>
          <w:rFonts w:ascii="Garamond" w:hAnsi="Garamond"/>
          <w:sz w:val="25"/>
          <w:szCs w:val="25"/>
        </w:rPr>
        <w:t xml:space="preserve">. </w:t>
      </w:r>
      <w:r w:rsidR="006F48C0" w:rsidRPr="001E3097">
        <w:rPr>
          <w:rFonts w:ascii="Garamond" w:hAnsi="Garamond"/>
          <w:sz w:val="25"/>
          <w:szCs w:val="25"/>
        </w:rPr>
        <w:t xml:space="preserve">(Compl. </w:t>
      </w:r>
      <w:r w:rsidR="006F48C0" w:rsidRPr="001E3097">
        <w:rPr>
          <w:rFonts w:ascii="Garamond" w:hAnsi="Garamond"/>
          <w:color w:val="000000"/>
          <w:sz w:val="25"/>
          <w:szCs w:val="25"/>
        </w:rPr>
        <w:t xml:space="preserve">¶ 12) </w:t>
      </w:r>
    </w:p>
    <w:p w14:paraId="38BD7EC7" w14:textId="51E79737" w:rsidR="00A33EDE" w:rsidRPr="001E3097" w:rsidRDefault="008A61D8" w:rsidP="00A33EDE">
      <w:pPr>
        <w:spacing w:line="480" w:lineRule="auto"/>
        <w:rPr>
          <w:rFonts w:ascii="Garamond" w:hAnsi="Garamond"/>
          <w:color w:val="000000"/>
          <w:sz w:val="25"/>
          <w:szCs w:val="25"/>
        </w:rPr>
      </w:pPr>
      <w:r w:rsidRPr="001E3097">
        <w:rPr>
          <w:rFonts w:ascii="Garamond" w:hAnsi="Garamond"/>
          <w:color w:val="000000"/>
          <w:sz w:val="25"/>
          <w:szCs w:val="25"/>
        </w:rPr>
        <w:tab/>
        <w:t>During the meeting, Nelson and</w:t>
      </w:r>
      <w:r w:rsidR="00067BA1" w:rsidRPr="001E3097">
        <w:rPr>
          <w:rFonts w:ascii="Garamond" w:hAnsi="Garamond"/>
          <w:color w:val="000000"/>
          <w:sz w:val="25"/>
          <w:szCs w:val="25"/>
        </w:rPr>
        <w:t xml:space="preserve"> </w:t>
      </w:r>
      <w:r w:rsidRPr="001E3097">
        <w:rPr>
          <w:rFonts w:ascii="Garamond" w:hAnsi="Garamond"/>
          <w:color w:val="000000"/>
          <w:sz w:val="25"/>
          <w:szCs w:val="25"/>
        </w:rPr>
        <w:t xml:space="preserve">Lime agreed that Lime would prepare a screenplay by April 1, 2010 and that she would be paid $6,000 for writing the screenplay. </w:t>
      </w:r>
      <w:r w:rsidRPr="001E3097">
        <w:rPr>
          <w:rFonts w:ascii="Garamond" w:hAnsi="Garamond"/>
          <w:sz w:val="25"/>
          <w:szCs w:val="25"/>
        </w:rPr>
        <w:t xml:space="preserve">(Compl. </w:t>
      </w:r>
      <w:r w:rsidRPr="001E3097">
        <w:rPr>
          <w:rFonts w:ascii="Garamond" w:hAnsi="Garamond"/>
          <w:color w:val="000000"/>
          <w:sz w:val="25"/>
          <w:szCs w:val="25"/>
        </w:rPr>
        <w:t>¶</w:t>
      </w:r>
      <w:r w:rsidR="007D1E76" w:rsidRPr="001E3097">
        <w:rPr>
          <w:rFonts w:ascii="Garamond" w:hAnsi="Garamond"/>
          <w:color w:val="000000"/>
          <w:sz w:val="25"/>
          <w:szCs w:val="25"/>
        </w:rPr>
        <w:t>¶</w:t>
      </w:r>
      <w:r w:rsidRPr="001E3097">
        <w:rPr>
          <w:rFonts w:ascii="Garamond" w:hAnsi="Garamond"/>
          <w:color w:val="000000"/>
          <w:sz w:val="25"/>
          <w:szCs w:val="25"/>
        </w:rPr>
        <w:t xml:space="preserve"> 13, 15) </w:t>
      </w:r>
      <w:r w:rsidR="006D7ED4" w:rsidRPr="001E3097">
        <w:rPr>
          <w:rFonts w:ascii="Garamond" w:hAnsi="Garamond"/>
          <w:color w:val="000000"/>
          <w:sz w:val="25"/>
          <w:szCs w:val="25"/>
        </w:rPr>
        <w:t xml:space="preserve">Nelson told Lime that he wanted to see her unique approach. </w:t>
      </w:r>
      <w:r w:rsidR="006D7ED4" w:rsidRPr="001E3097">
        <w:rPr>
          <w:rFonts w:ascii="Garamond" w:hAnsi="Garamond"/>
          <w:sz w:val="25"/>
          <w:szCs w:val="25"/>
        </w:rPr>
        <w:t xml:space="preserve">(Compl. </w:t>
      </w:r>
      <w:r w:rsidR="006D7ED4" w:rsidRPr="001E3097">
        <w:rPr>
          <w:rFonts w:ascii="Garamond" w:hAnsi="Garamond"/>
          <w:color w:val="000000"/>
          <w:sz w:val="25"/>
          <w:szCs w:val="25"/>
        </w:rPr>
        <w:t>¶ 14) During the meeting, Nelson</w:t>
      </w:r>
      <w:r w:rsidR="00A33EDE" w:rsidRPr="001E3097">
        <w:rPr>
          <w:rFonts w:ascii="Garamond" w:hAnsi="Garamond"/>
          <w:color w:val="000000"/>
          <w:sz w:val="25"/>
          <w:szCs w:val="25"/>
        </w:rPr>
        <w:t xml:space="preserve"> also</w:t>
      </w:r>
      <w:r w:rsidR="006D7ED4" w:rsidRPr="001E3097">
        <w:rPr>
          <w:rFonts w:ascii="Garamond" w:hAnsi="Garamond"/>
          <w:color w:val="000000"/>
          <w:sz w:val="25"/>
          <w:szCs w:val="25"/>
        </w:rPr>
        <w:t xml:space="preserve"> told Lime that, “Your work on the screenplay is for hire. For all intents and purposes, we’ll be the author. Do you understand, and is that OK with you?” Lime responded, “Yes.” </w:t>
      </w:r>
      <w:r w:rsidR="008711A0" w:rsidRPr="001E3097">
        <w:rPr>
          <w:rFonts w:ascii="Garamond" w:hAnsi="Garamond"/>
          <w:sz w:val="25"/>
          <w:szCs w:val="25"/>
        </w:rPr>
        <w:t xml:space="preserve">(Compl. </w:t>
      </w:r>
      <w:r w:rsidR="008711A0" w:rsidRPr="001E3097">
        <w:rPr>
          <w:rFonts w:ascii="Garamond" w:hAnsi="Garamond"/>
          <w:color w:val="000000"/>
          <w:sz w:val="25"/>
          <w:szCs w:val="25"/>
        </w:rPr>
        <w:t xml:space="preserve">¶ 16, 17) </w:t>
      </w:r>
      <w:r w:rsidR="00BA30C8" w:rsidRPr="001E3097">
        <w:rPr>
          <w:rFonts w:ascii="Garamond" w:hAnsi="Garamond"/>
          <w:color w:val="000000"/>
          <w:sz w:val="25"/>
          <w:szCs w:val="25"/>
        </w:rPr>
        <w:t xml:space="preserve">Nelson said that he wanted Lime to begin right away, and that she could sign the paperwork later. </w:t>
      </w:r>
      <w:r w:rsidR="008711A0" w:rsidRPr="001E3097">
        <w:rPr>
          <w:rFonts w:ascii="Garamond" w:hAnsi="Garamond"/>
          <w:color w:val="000000"/>
          <w:sz w:val="25"/>
          <w:szCs w:val="25"/>
        </w:rPr>
        <w:t>Lime did not sign a written work-made-for-hire agreement with Plai</w:t>
      </w:r>
      <w:r w:rsidR="00BA30C8" w:rsidRPr="001E3097">
        <w:rPr>
          <w:rFonts w:ascii="Garamond" w:hAnsi="Garamond"/>
          <w:color w:val="000000"/>
          <w:sz w:val="25"/>
          <w:szCs w:val="25"/>
        </w:rPr>
        <w:t>ntiff at the meeting on March 27</w:t>
      </w:r>
      <w:r w:rsidR="008711A0" w:rsidRPr="001E3097">
        <w:rPr>
          <w:rFonts w:ascii="Garamond" w:hAnsi="Garamond"/>
          <w:color w:val="000000"/>
          <w:sz w:val="25"/>
          <w:szCs w:val="25"/>
        </w:rPr>
        <w:t>, 2010. (</w:t>
      </w:r>
      <w:r w:rsidR="008711A0" w:rsidRPr="001E3097">
        <w:rPr>
          <w:rFonts w:ascii="Garamond" w:hAnsi="Garamond"/>
          <w:sz w:val="25"/>
          <w:szCs w:val="25"/>
        </w:rPr>
        <w:t xml:space="preserve">Compl. </w:t>
      </w:r>
      <w:r w:rsidR="008711A0" w:rsidRPr="001E3097">
        <w:rPr>
          <w:rFonts w:ascii="Garamond" w:hAnsi="Garamond"/>
          <w:color w:val="000000"/>
          <w:sz w:val="25"/>
          <w:szCs w:val="25"/>
        </w:rPr>
        <w:t xml:space="preserve">¶ </w:t>
      </w:r>
      <w:r w:rsidR="00BA30C8" w:rsidRPr="001E3097">
        <w:rPr>
          <w:rFonts w:ascii="Garamond" w:hAnsi="Garamond"/>
          <w:color w:val="000000"/>
          <w:sz w:val="25"/>
          <w:szCs w:val="25"/>
        </w:rPr>
        <w:t>18, 20;</w:t>
      </w:r>
      <w:r w:rsidR="008711A0" w:rsidRPr="001E3097">
        <w:rPr>
          <w:rFonts w:ascii="Garamond" w:hAnsi="Garamond"/>
          <w:color w:val="000000"/>
          <w:sz w:val="25"/>
          <w:szCs w:val="25"/>
        </w:rPr>
        <w:t xml:space="preserve"> Ans</w:t>
      </w:r>
      <w:r w:rsidR="00BA30C8" w:rsidRPr="001E3097">
        <w:rPr>
          <w:rFonts w:ascii="Garamond" w:hAnsi="Garamond"/>
          <w:color w:val="000000"/>
          <w:sz w:val="25"/>
          <w:szCs w:val="25"/>
        </w:rPr>
        <w:t xml:space="preserve">wer ¶ 3) </w:t>
      </w:r>
    </w:p>
    <w:p w14:paraId="1509CD06" w14:textId="04748A23" w:rsidR="008A1E44" w:rsidRPr="001E3097" w:rsidRDefault="00BA30C8" w:rsidP="00A33EDE">
      <w:pPr>
        <w:spacing w:line="480" w:lineRule="auto"/>
        <w:ind w:firstLine="720"/>
        <w:rPr>
          <w:rFonts w:ascii="Garamond" w:hAnsi="Garamond"/>
          <w:color w:val="000000"/>
          <w:sz w:val="25"/>
          <w:szCs w:val="25"/>
        </w:rPr>
      </w:pPr>
      <w:r w:rsidRPr="001E3097">
        <w:rPr>
          <w:rFonts w:ascii="Garamond" w:hAnsi="Garamond"/>
          <w:color w:val="000000"/>
          <w:sz w:val="25"/>
          <w:szCs w:val="25"/>
        </w:rPr>
        <w:t>On April 1, 2010, Elizabeth Lime submitted her screenplay, ent</w:t>
      </w:r>
      <w:r w:rsidR="00A33EDE" w:rsidRPr="001E3097">
        <w:rPr>
          <w:rFonts w:ascii="Garamond" w:hAnsi="Garamond"/>
          <w:color w:val="000000"/>
          <w:sz w:val="25"/>
          <w:szCs w:val="25"/>
        </w:rPr>
        <w:t>itled “Anticipatory Repudiation</w:t>
      </w:r>
      <w:r w:rsidRPr="001E3097">
        <w:rPr>
          <w:rFonts w:ascii="Garamond" w:hAnsi="Garamond"/>
          <w:color w:val="000000"/>
          <w:sz w:val="25"/>
          <w:szCs w:val="25"/>
        </w:rPr>
        <w:t>”</w:t>
      </w:r>
      <w:r w:rsidR="00A33EDE" w:rsidRPr="001E3097">
        <w:rPr>
          <w:rFonts w:ascii="Garamond" w:hAnsi="Garamond"/>
          <w:color w:val="000000"/>
          <w:sz w:val="25"/>
          <w:szCs w:val="25"/>
        </w:rPr>
        <w:t>, which contained an exciting sub</w:t>
      </w:r>
      <w:r w:rsidR="007D1E76" w:rsidRPr="001E3097">
        <w:rPr>
          <w:rFonts w:ascii="Garamond" w:hAnsi="Garamond"/>
          <w:color w:val="000000"/>
          <w:sz w:val="25"/>
          <w:szCs w:val="25"/>
        </w:rPr>
        <w:t>marine chase sequence (Compl. ¶</w:t>
      </w:r>
      <w:r w:rsidR="00A33EDE" w:rsidRPr="001E3097">
        <w:rPr>
          <w:rFonts w:ascii="Garamond" w:hAnsi="Garamond"/>
          <w:color w:val="000000"/>
          <w:sz w:val="25"/>
          <w:szCs w:val="25"/>
        </w:rPr>
        <w:t>¶ 20, 26).</w:t>
      </w:r>
      <w:r w:rsidR="008D1BAE" w:rsidRPr="001E3097">
        <w:rPr>
          <w:rFonts w:ascii="Garamond" w:hAnsi="Garamond"/>
          <w:color w:val="000000"/>
          <w:sz w:val="25"/>
          <w:szCs w:val="25"/>
        </w:rPr>
        <w:t xml:space="preserve"> On April 6, 2010, Lime came to the office of Plaintiff OGS, picked up a check for $6,000, and signed a document labeled “Work-Made-For-Hire Agreement” that stated in its entirety: “I understand and agree that I have prepared the screenplay, ‘Anticipatory Repudiation,’ as a work made for hire under the federal Copyright </w:t>
      </w:r>
      <w:r w:rsidR="001C7A73" w:rsidRPr="001E3097">
        <w:rPr>
          <w:rFonts w:ascii="Garamond" w:hAnsi="Garamond"/>
          <w:color w:val="000000"/>
          <w:sz w:val="25"/>
          <w:szCs w:val="25"/>
        </w:rPr>
        <w:t xml:space="preserve">Act of 1976. Pursuant to this law, OGS TV is the author of this screenplay.” </w:t>
      </w:r>
      <w:r w:rsidR="008A1E44" w:rsidRPr="001E3097">
        <w:rPr>
          <w:rFonts w:ascii="Garamond" w:hAnsi="Garamond"/>
          <w:color w:val="000000"/>
          <w:sz w:val="25"/>
          <w:szCs w:val="25"/>
        </w:rPr>
        <w:t xml:space="preserve">(Compl. ¶ 24) </w:t>
      </w:r>
      <w:r w:rsidR="001C7A73" w:rsidRPr="001E3097">
        <w:rPr>
          <w:rFonts w:ascii="Garamond" w:hAnsi="Garamond"/>
          <w:color w:val="000000"/>
          <w:sz w:val="25"/>
          <w:szCs w:val="25"/>
        </w:rPr>
        <w:t>Nelson also signed the</w:t>
      </w:r>
      <w:r w:rsidR="00A33EDE" w:rsidRPr="001E3097">
        <w:rPr>
          <w:rFonts w:ascii="Garamond" w:hAnsi="Garamond"/>
          <w:color w:val="000000"/>
          <w:sz w:val="25"/>
          <w:szCs w:val="25"/>
        </w:rPr>
        <w:t xml:space="preserve"> “Work-Made-For-Hire Agreement” at that time.</w:t>
      </w:r>
      <w:r w:rsidR="008A1E44" w:rsidRPr="001E3097">
        <w:rPr>
          <w:rFonts w:ascii="Garamond" w:hAnsi="Garamond"/>
          <w:color w:val="000000"/>
          <w:sz w:val="25"/>
          <w:szCs w:val="25"/>
        </w:rPr>
        <w:t xml:space="preserve"> (Compl. ¶ 25) </w:t>
      </w:r>
      <w:r w:rsidR="0065721C" w:rsidRPr="001E3097">
        <w:rPr>
          <w:rFonts w:ascii="Garamond" w:hAnsi="Garamond"/>
          <w:color w:val="000000"/>
          <w:sz w:val="25"/>
          <w:szCs w:val="25"/>
        </w:rPr>
        <w:t xml:space="preserve">It is undisputed that </w:t>
      </w:r>
      <w:r w:rsidR="00A33EDE" w:rsidRPr="001E3097">
        <w:rPr>
          <w:rFonts w:ascii="Garamond" w:hAnsi="Garamond"/>
          <w:color w:val="000000"/>
          <w:sz w:val="25"/>
          <w:szCs w:val="25"/>
        </w:rPr>
        <w:t>a</w:t>
      </w:r>
      <w:r w:rsidR="00944C38" w:rsidRPr="00944C38">
        <w:rPr>
          <w:rFonts w:ascii="Garamond" w:hAnsi="Garamond"/>
          <w:color w:val="000000"/>
          <w:sz w:val="25"/>
          <w:szCs w:val="25"/>
        </w:rPr>
        <w:t xml:space="preserve"> </w:t>
      </w:r>
      <w:r w:rsidR="00944C38" w:rsidRPr="001E3097">
        <w:rPr>
          <w:rFonts w:ascii="Garamond" w:hAnsi="Garamond"/>
          <w:color w:val="000000"/>
          <w:sz w:val="25"/>
          <w:szCs w:val="25"/>
        </w:rPr>
        <w:t>written</w:t>
      </w:r>
      <w:r w:rsidR="00A33EDE" w:rsidRPr="001E3097">
        <w:rPr>
          <w:rFonts w:ascii="Garamond" w:hAnsi="Garamond"/>
          <w:color w:val="000000"/>
          <w:sz w:val="25"/>
          <w:szCs w:val="25"/>
        </w:rPr>
        <w:t xml:space="preserve"> </w:t>
      </w:r>
      <w:r w:rsidR="0065721C" w:rsidRPr="001E3097">
        <w:rPr>
          <w:rFonts w:ascii="Garamond" w:hAnsi="Garamond"/>
          <w:color w:val="000000"/>
          <w:sz w:val="25"/>
          <w:szCs w:val="25"/>
        </w:rPr>
        <w:t>work</w:t>
      </w:r>
      <w:r w:rsidR="00A33EDE" w:rsidRPr="001E3097">
        <w:rPr>
          <w:rFonts w:ascii="Garamond" w:hAnsi="Garamond"/>
          <w:color w:val="000000"/>
          <w:sz w:val="25"/>
          <w:szCs w:val="25"/>
        </w:rPr>
        <w:t xml:space="preserve"> for hire agreement was never </w:t>
      </w:r>
      <w:r w:rsidR="0065721C" w:rsidRPr="001E3097">
        <w:rPr>
          <w:rFonts w:ascii="Garamond" w:hAnsi="Garamond"/>
          <w:color w:val="000000"/>
          <w:sz w:val="25"/>
          <w:szCs w:val="25"/>
        </w:rPr>
        <w:t xml:space="preserve">signed prior to the creation and submission of the work on April 1, 2010. (Compl. ¶ 24; Answer ¶ 3) </w:t>
      </w:r>
    </w:p>
    <w:p w14:paraId="3868651E" w14:textId="0B7B9CE3" w:rsidR="00847D3F" w:rsidRPr="001E3097" w:rsidRDefault="00847D3F" w:rsidP="00B57FAE">
      <w:pPr>
        <w:spacing w:line="480" w:lineRule="auto"/>
        <w:ind w:firstLine="720"/>
        <w:rPr>
          <w:rFonts w:ascii="Garamond" w:hAnsi="Garamond"/>
          <w:color w:val="000000"/>
          <w:sz w:val="25"/>
          <w:szCs w:val="25"/>
        </w:rPr>
      </w:pPr>
      <w:r w:rsidRPr="001E3097">
        <w:rPr>
          <w:rFonts w:ascii="Garamond" w:hAnsi="Garamond"/>
          <w:color w:val="000000"/>
          <w:sz w:val="25"/>
          <w:szCs w:val="25"/>
        </w:rPr>
        <w:t>By June 1, 2010, Lime’s screenplay had still not been performed. (Compl. ¶ 26) Lime was</w:t>
      </w:r>
      <w:r w:rsidR="008A54BE" w:rsidRPr="001E3097">
        <w:rPr>
          <w:rFonts w:ascii="Garamond" w:hAnsi="Garamond"/>
          <w:color w:val="000000"/>
          <w:sz w:val="25"/>
          <w:szCs w:val="25"/>
        </w:rPr>
        <w:t xml:space="preserve"> only</w:t>
      </w:r>
      <w:r w:rsidRPr="001E3097">
        <w:rPr>
          <w:rFonts w:ascii="Garamond" w:hAnsi="Garamond"/>
          <w:color w:val="000000"/>
          <w:sz w:val="25"/>
          <w:szCs w:val="25"/>
        </w:rPr>
        <w:t xml:space="preserve"> told that executives were not happy with the quality of the screenplay, and that the story did not fit the theme of the show. (Compl. ¶ 26) On August 2, 2010, Lime worked with de</w:t>
      </w:r>
      <w:r w:rsidR="004B7A02" w:rsidRPr="001E3097">
        <w:rPr>
          <w:rFonts w:ascii="Garamond" w:hAnsi="Garamond"/>
          <w:color w:val="000000"/>
          <w:sz w:val="25"/>
          <w:szCs w:val="25"/>
        </w:rPr>
        <w:t xml:space="preserve">fendant TinyTV </w:t>
      </w:r>
      <w:r w:rsidRPr="001E3097">
        <w:rPr>
          <w:rFonts w:ascii="Garamond" w:hAnsi="Garamond"/>
          <w:color w:val="000000"/>
          <w:sz w:val="25"/>
          <w:szCs w:val="25"/>
        </w:rPr>
        <w:t xml:space="preserve">to create a new television series entitled </w:t>
      </w:r>
      <w:r w:rsidRPr="001E3097">
        <w:rPr>
          <w:rFonts w:ascii="Garamond" w:hAnsi="Garamond"/>
          <w:i/>
          <w:color w:val="000000"/>
          <w:sz w:val="25"/>
          <w:szCs w:val="25"/>
        </w:rPr>
        <w:t>The Tin Can</w:t>
      </w:r>
      <w:r w:rsidR="00A33EDE" w:rsidRPr="001E3097">
        <w:rPr>
          <w:rFonts w:ascii="Garamond" w:hAnsi="Garamond"/>
          <w:i/>
          <w:color w:val="000000"/>
          <w:sz w:val="25"/>
          <w:szCs w:val="25"/>
        </w:rPr>
        <w:softHyphen/>
      </w:r>
      <w:r w:rsidR="00A33EDE" w:rsidRPr="001E3097">
        <w:rPr>
          <w:rFonts w:ascii="Garamond" w:hAnsi="Garamond"/>
          <w:color w:val="000000"/>
          <w:sz w:val="25"/>
          <w:szCs w:val="25"/>
        </w:rPr>
        <w:t>, a gritty psychological comedy about a submarine crew</w:t>
      </w:r>
      <w:r w:rsidRPr="001E3097">
        <w:rPr>
          <w:rFonts w:ascii="Garamond" w:hAnsi="Garamond"/>
          <w:color w:val="000000"/>
          <w:sz w:val="25"/>
          <w:szCs w:val="25"/>
        </w:rPr>
        <w:t xml:space="preserve">. </w:t>
      </w:r>
      <w:r w:rsidR="004868EF" w:rsidRPr="001E3097">
        <w:rPr>
          <w:rFonts w:ascii="Garamond" w:hAnsi="Garamond"/>
          <w:color w:val="000000"/>
          <w:sz w:val="25"/>
          <w:szCs w:val="25"/>
        </w:rPr>
        <w:t>(Comp</w:t>
      </w:r>
      <w:r w:rsidR="00B620C7" w:rsidRPr="001E3097">
        <w:rPr>
          <w:rFonts w:ascii="Garamond" w:hAnsi="Garamond"/>
          <w:color w:val="000000"/>
          <w:sz w:val="25"/>
          <w:szCs w:val="25"/>
        </w:rPr>
        <w:t>l. ¶ 27) On September 7, 2010, D</w:t>
      </w:r>
      <w:r w:rsidR="004868EF" w:rsidRPr="001E3097">
        <w:rPr>
          <w:rFonts w:ascii="Garamond" w:hAnsi="Garamond"/>
          <w:color w:val="000000"/>
          <w:sz w:val="25"/>
          <w:szCs w:val="25"/>
        </w:rPr>
        <w:t xml:space="preserve">efendants </w:t>
      </w:r>
      <w:r w:rsidR="0006163D" w:rsidRPr="001E3097">
        <w:rPr>
          <w:rFonts w:ascii="Garamond" w:hAnsi="Garamond"/>
          <w:color w:val="000000"/>
          <w:sz w:val="25"/>
          <w:szCs w:val="25"/>
        </w:rPr>
        <w:t>aired</w:t>
      </w:r>
      <w:r w:rsidR="004868EF" w:rsidRPr="001E3097">
        <w:rPr>
          <w:rFonts w:ascii="Garamond" w:hAnsi="Garamond"/>
          <w:color w:val="000000"/>
          <w:sz w:val="25"/>
          <w:szCs w:val="25"/>
        </w:rPr>
        <w:t xml:space="preserve"> the screenplay “The Love Below”, which was substantially similar to the screen</w:t>
      </w:r>
      <w:r w:rsidR="00C64246" w:rsidRPr="001E3097">
        <w:rPr>
          <w:rFonts w:ascii="Garamond" w:hAnsi="Garamond"/>
          <w:color w:val="000000"/>
          <w:sz w:val="25"/>
          <w:szCs w:val="25"/>
        </w:rPr>
        <w:t xml:space="preserve">play “Anticipatory Repudiation”. </w:t>
      </w:r>
      <w:r w:rsidR="00071ACB" w:rsidRPr="001E3097">
        <w:rPr>
          <w:rFonts w:ascii="Garamond" w:hAnsi="Garamond"/>
          <w:color w:val="000000"/>
          <w:sz w:val="25"/>
          <w:szCs w:val="25"/>
        </w:rPr>
        <w:t xml:space="preserve">(Compl. </w:t>
      </w:r>
      <w:r w:rsidR="007D1E76" w:rsidRPr="001E3097">
        <w:rPr>
          <w:rFonts w:ascii="Garamond" w:hAnsi="Garamond"/>
          <w:color w:val="000000"/>
          <w:sz w:val="25"/>
          <w:szCs w:val="25"/>
        </w:rPr>
        <w:t>¶</w:t>
      </w:r>
      <w:r w:rsidR="00071ACB" w:rsidRPr="001E3097">
        <w:rPr>
          <w:rFonts w:ascii="Garamond" w:hAnsi="Garamond"/>
          <w:color w:val="000000"/>
          <w:sz w:val="25"/>
          <w:szCs w:val="25"/>
        </w:rPr>
        <w:t>¶ 29, 31)</w:t>
      </w:r>
    </w:p>
    <w:p w14:paraId="102FC250" w14:textId="133E376E" w:rsidR="001E3097" w:rsidRDefault="00B31DD0" w:rsidP="001E3097">
      <w:pPr>
        <w:spacing w:line="480" w:lineRule="auto"/>
        <w:ind w:firstLine="720"/>
        <w:rPr>
          <w:rFonts w:ascii="Garamond" w:hAnsi="Garamond"/>
          <w:color w:val="000000"/>
          <w:sz w:val="25"/>
          <w:szCs w:val="25"/>
        </w:rPr>
      </w:pPr>
      <w:r w:rsidRPr="001E3097">
        <w:rPr>
          <w:rFonts w:ascii="Garamond" w:hAnsi="Garamond"/>
          <w:color w:val="000000"/>
          <w:sz w:val="25"/>
          <w:szCs w:val="25"/>
        </w:rPr>
        <w:t xml:space="preserve">OGS </w:t>
      </w:r>
      <w:r w:rsidR="004B0240" w:rsidRPr="001E3097">
        <w:rPr>
          <w:rFonts w:ascii="Garamond" w:hAnsi="Garamond"/>
          <w:color w:val="000000"/>
          <w:sz w:val="25"/>
          <w:szCs w:val="25"/>
        </w:rPr>
        <w:t xml:space="preserve">has now </w:t>
      </w:r>
      <w:r w:rsidRPr="001E3097">
        <w:rPr>
          <w:rFonts w:ascii="Garamond" w:hAnsi="Garamond"/>
          <w:color w:val="000000"/>
          <w:sz w:val="25"/>
          <w:szCs w:val="25"/>
        </w:rPr>
        <w:t>filed a complaint</w:t>
      </w:r>
      <w:r w:rsidR="00071ACB" w:rsidRPr="001E3097">
        <w:rPr>
          <w:rFonts w:ascii="Garamond" w:hAnsi="Garamond"/>
          <w:color w:val="000000"/>
          <w:sz w:val="25"/>
          <w:szCs w:val="25"/>
        </w:rPr>
        <w:t xml:space="preserve"> </w:t>
      </w:r>
      <w:r w:rsidR="004B0240" w:rsidRPr="001E3097">
        <w:rPr>
          <w:rFonts w:ascii="Garamond" w:hAnsi="Garamond"/>
          <w:color w:val="000000"/>
          <w:sz w:val="25"/>
          <w:szCs w:val="25"/>
        </w:rPr>
        <w:t xml:space="preserve">alleging copyright infringement </w:t>
      </w:r>
      <w:r w:rsidR="00071ACB" w:rsidRPr="001E3097">
        <w:rPr>
          <w:rFonts w:ascii="Garamond" w:hAnsi="Garamond"/>
          <w:color w:val="000000"/>
          <w:sz w:val="25"/>
          <w:szCs w:val="25"/>
        </w:rPr>
        <w:t>under the federal Copyright Act of 1976</w:t>
      </w:r>
      <w:r w:rsidR="004B0240" w:rsidRPr="001E3097">
        <w:rPr>
          <w:rFonts w:ascii="Garamond" w:hAnsi="Garamond"/>
          <w:color w:val="000000"/>
          <w:sz w:val="25"/>
          <w:szCs w:val="25"/>
        </w:rPr>
        <w:t>. (</w:t>
      </w:r>
      <w:r w:rsidR="0075635A" w:rsidRPr="001E3097">
        <w:rPr>
          <w:rFonts w:ascii="Garamond" w:hAnsi="Garamond"/>
          <w:color w:val="000000"/>
          <w:sz w:val="25"/>
          <w:szCs w:val="25"/>
        </w:rPr>
        <w:t xml:space="preserve">Compl. ¶ </w:t>
      </w:r>
      <w:r w:rsidR="0085060D" w:rsidRPr="001E3097">
        <w:rPr>
          <w:rFonts w:ascii="Garamond" w:hAnsi="Garamond"/>
          <w:color w:val="000000"/>
          <w:sz w:val="25"/>
          <w:szCs w:val="25"/>
        </w:rPr>
        <w:t xml:space="preserve">34) Defendants </w:t>
      </w:r>
      <w:r w:rsidR="004B0240" w:rsidRPr="001E3097">
        <w:rPr>
          <w:rFonts w:ascii="Garamond" w:hAnsi="Garamond"/>
          <w:color w:val="000000"/>
          <w:sz w:val="25"/>
          <w:szCs w:val="25"/>
        </w:rPr>
        <w:t>now seek to dismiss the complaint under</w:t>
      </w:r>
      <w:r w:rsidR="00403FF0" w:rsidRPr="001E3097">
        <w:rPr>
          <w:rFonts w:ascii="Garamond" w:hAnsi="Garamond"/>
          <w:color w:val="000000"/>
          <w:sz w:val="25"/>
          <w:szCs w:val="25"/>
        </w:rPr>
        <w:t xml:space="preserve"> </w:t>
      </w:r>
      <w:r w:rsidR="00403FF0" w:rsidRPr="001E3097">
        <w:rPr>
          <w:rFonts w:ascii="Garamond" w:hAnsi="Garamond"/>
          <w:sz w:val="25"/>
          <w:szCs w:val="25"/>
        </w:rPr>
        <w:t xml:space="preserve">Fed. R. Civ. P. </w:t>
      </w:r>
      <w:r w:rsidR="00403FF0" w:rsidRPr="001E3097">
        <w:rPr>
          <w:rFonts w:ascii="Garamond" w:hAnsi="Garamond"/>
          <w:color w:val="000000"/>
          <w:sz w:val="25"/>
          <w:szCs w:val="25"/>
        </w:rPr>
        <w:t>12(b)(6)</w:t>
      </w:r>
      <w:r w:rsidR="004B0240" w:rsidRPr="001E3097">
        <w:rPr>
          <w:rFonts w:ascii="Garamond" w:hAnsi="Garamond"/>
          <w:color w:val="000000"/>
          <w:sz w:val="25"/>
          <w:szCs w:val="25"/>
        </w:rPr>
        <w:t xml:space="preserve"> because the Plaintiff has failed to state a claim under the Copyright Act, which requires a signed writing prior to the creation of the work for the work to be considered a “word made for hire” under the Act.</w:t>
      </w:r>
      <w:r w:rsidR="004A4384" w:rsidRPr="001E3097">
        <w:rPr>
          <w:rFonts w:ascii="Garamond" w:hAnsi="Garamond"/>
          <w:color w:val="000000"/>
          <w:sz w:val="25"/>
          <w:szCs w:val="25"/>
        </w:rPr>
        <w:t xml:space="preserve"> </w:t>
      </w:r>
    </w:p>
    <w:p w14:paraId="54E12B8F" w14:textId="77777777" w:rsidR="001E3097" w:rsidRPr="001E3097" w:rsidRDefault="001E3097" w:rsidP="001E3097">
      <w:pPr>
        <w:spacing w:line="480" w:lineRule="auto"/>
        <w:ind w:firstLine="720"/>
        <w:rPr>
          <w:rFonts w:ascii="Garamond" w:hAnsi="Garamond"/>
          <w:color w:val="000000"/>
          <w:sz w:val="25"/>
          <w:szCs w:val="25"/>
        </w:rPr>
      </w:pPr>
    </w:p>
    <w:p w14:paraId="7CD5889A" w14:textId="26E68358" w:rsidR="00C17F9D" w:rsidRPr="001E3097" w:rsidRDefault="00C17F9D" w:rsidP="00C17F9D">
      <w:pPr>
        <w:spacing w:line="480" w:lineRule="auto"/>
        <w:jc w:val="center"/>
        <w:rPr>
          <w:rFonts w:ascii="Garamond" w:hAnsi="Garamond"/>
          <w:b/>
          <w:color w:val="000000"/>
          <w:sz w:val="25"/>
          <w:szCs w:val="25"/>
        </w:rPr>
      </w:pPr>
      <w:r w:rsidRPr="001E3097">
        <w:rPr>
          <w:rFonts w:ascii="Garamond" w:hAnsi="Garamond"/>
          <w:b/>
          <w:color w:val="000000"/>
          <w:sz w:val="25"/>
          <w:szCs w:val="25"/>
        </w:rPr>
        <w:t>STANDARD OF REVIEW</w:t>
      </w:r>
    </w:p>
    <w:p w14:paraId="114C9336" w14:textId="1142B456" w:rsidR="00A30C35" w:rsidRPr="001E3097" w:rsidRDefault="00C17F9D" w:rsidP="00C17F9D">
      <w:pPr>
        <w:spacing w:line="480" w:lineRule="auto"/>
        <w:rPr>
          <w:rFonts w:ascii="Garamond" w:hAnsi="Garamond"/>
          <w:color w:val="000000"/>
          <w:sz w:val="25"/>
          <w:szCs w:val="25"/>
        </w:rPr>
      </w:pPr>
      <w:r w:rsidRPr="001E3097">
        <w:rPr>
          <w:rFonts w:ascii="Garamond" w:hAnsi="Garamond"/>
          <w:color w:val="000000"/>
          <w:sz w:val="25"/>
          <w:szCs w:val="25"/>
        </w:rPr>
        <w:tab/>
      </w:r>
      <w:r w:rsidR="00437BBD" w:rsidRPr="001E3097">
        <w:rPr>
          <w:rFonts w:ascii="Garamond" w:hAnsi="Garamond"/>
          <w:color w:val="000000"/>
          <w:sz w:val="25"/>
          <w:szCs w:val="25"/>
        </w:rPr>
        <w:t xml:space="preserve">A </w:t>
      </w:r>
      <w:r w:rsidR="00C4257B" w:rsidRPr="001E3097">
        <w:rPr>
          <w:rFonts w:ascii="Garamond" w:hAnsi="Garamond"/>
          <w:color w:val="000000"/>
          <w:sz w:val="25"/>
          <w:szCs w:val="25"/>
        </w:rPr>
        <w:t xml:space="preserve">motion to dismiss under </w:t>
      </w:r>
      <w:r w:rsidR="00B343B1" w:rsidRPr="001E3097">
        <w:rPr>
          <w:rFonts w:ascii="Garamond" w:hAnsi="Garamond"/>
          <w:sz w:val="25"/>
          <w:szCs w:val="25"/>
        </w:rPr>
        <w:t xml:space="preserve">Fed. R. Civ. P. </w:t>
      </w:r>
      <w:r w:rsidR="00437BBD" w:rsidRPr="001E3097">
        <w:rPr>
          <w:rFonts w:ascii="Garamond" w:hAnsi="Garamond"/>
          <w:color w:val="000000"/>
          <w:sz w:val="25"/>
          <w:szCs w:val="25"/>
        </w:rPr>
        <w:t xml:space="preserve">12(b)(6) tests the legal sufficiency </w:t>
      </w:r>
      <w:r w:rsidR="00093A0E" w:rsidRPr="001E3097">
        <w:rPr>
          <w:rFonts w:ascii="Garamond" w:hAnsi="Garamond"/>
          <w:color w:val="000000"/>
          <w:sz w:val="25"/>
          <w:szCs w:val="25"/>
        </w:rPr>
        <w:t xml:space="preserve">or factual sufficiency </w:t>
      </w:r>
      <w:r w:rsidR="00437BBD" w:rsidRPr="001E3097">
        <w:rPr>
          <w:rFonts w:ascii="Garamond" w:hAnsi="Garamond"/>
          <w:color w:val="000000"/>
          <w:sz w:val="25"/>
          <w:szCs w:val="25"/>
        </w:rPr>
        <w:t xml:space="preserve">of Plaintiff’s complaint. </w:t>
      </w:r>
      <w:r w:rsidR="00C4257B" w:rsidRPr="001E3097">
        <w:rPr>
          <w:rFonts w:ascii="Garamond" w:hAnsi="Garamond"/>
          <w:color w:val="000000"/>
          <w:sz w:val="25"/>
          <w:szCs w:val="25"/>
          <w:u w:val="single"/>
        </w:rPr>
        <w:t>Conley v. Gibson</w:t>
      </w:r>
      <w:r w:rsidR="00C4257B" w:rsidRPr="001E3097">
        <w:rPr>
          <w:rFonts w:ascii="Garamond" w:hAnsi="Garamond"/>
          <w:color w:val="000000"/>
          <w:sz w:val="25"/>
          <w:szCs w:val="25"/>
        </w:rPr>
        <w:t>, 355 U.S. 41, 45-46 (1957).</w:t>
      </w:r>
      <w:r w:rsidR="00437BBD" w:rsidRPr="001E3097">
        <w:rPr>
          <w:rFonts w:ascii="Garamond" w:hAnsi="Garamond"/>
          <w:color w:val="000000"/>
          <w:sz w:val="25"/>
          <w:szCs w:val="25"/>
        </w:rPr>
        <w:t xml:space="preserve"> </w:t>
      </w:r>
      <w:r w:rsidR="00C150B3" w:rsidRPr="001E3097">
        <w:rPr>
          <w:rFonts w:ascii="Garamond" w:hAnsi="Garamond"/>
          <w:color w:val="000000"/>
          <w:sz w:val="25"/>
          <w:szCs w:val="25"/>
        </w:rPr>
        <w:t xml:space="preserve">A complaint </w:t>
      </w:r>
      <w:r w:rsidR="00A30C35" w:rsidRPr="001E3097">
        <w:rPr>
          <w:rFonts w:ascii="Garamond" w:hAnsi="Garamond"/>
          <w:color w:val="000000"/>
          <w:sz w:val="25"/>
          <w:szCs w:val="25"/>
        </w:rPr>
        <w:t>should</w:t>
      </w:r>
      <w:r w:rsidR="00C150B3" w:rsidRPr="001E3097">
        <w:rPr>
          <w:rFonts w:ascii="Garamond" w:hAnsi="Garamond"/>
          <w:color w:val="000000"/>
          <w:sz w:val="25"/>
          <w:szCs w:val="25"/>
        </w:rPr>
        <w:t xml:space="preserve"> be dismissed for failure to state a claim if “it appears beyond doubt that the plaintiff can prove no set of facts in support of his claim which would entitle him to relief.” </w:t>
      </w:r>
      <w:r w:rsidR="00C4257B" w:rsidRPr="001E3097">
        <w:rPr>
          <w:rFonts w:ascii="Garamond" w:hAnsi="Garamond"/>
          <w:color w:val="000000"/>
          <w:sz w:val="25"/>
          <w:szCs w:val="25"/>
          <w:u w:val="single"/>
        </w:rPr>
        <w:t>Id</w:t>
      </w:r>
      <w:r w:rsidR="00C4257B" w:rsidRPr="001E3097">
        <w:rPr>
          <w:rFonts w:ascii="Garamond" w:hAnsi="Garamond"/>
          <w:i/>
          <w:color w:val="000000"/>
          <w:sz w:val="25"/>
          <w:szCs w:val="25"/>
        </w:rPr>
        <w:t>.</w:t>
      </w:r>
      <w:r w:rsidR="00C4257B" w:rsidRPr="001E3097">
        <w:rPr>
          <w:rFonts w:ascii="Garamond" w:hAnsi="Garamond"/>
          <w:color w:val="000000"/>
          <w:sz w:val="25"/>
          <w:szCs w:val="25"/>
        </w:rPr>
        <w:t xml:space="preserve"> </w:t>
      </w:r>
    </w:p>
    <w:p w14:paraId="5CBF33E2" w14:textId="21E5E602" w:rsidR="00437BBD" w:rsidRPr="001E3097" w:rsidRDefault="00437BBD" w:rsidP="008A54BE">
      <w:pPr>
        <w:spacing w:line="480" w:lineRule="auto"/>
        <w:ind w:firstLine="720"/>
        <w:rPr>
          <w:rFonts w:ascii="Garamond" w:hAnsi="Garamond"/>
          <w:color w:val="000000"/>
          <w:sz w:val="25"/>
          <w:szCs w:val="25"/>
        </w:rPr>
      </w:pPr>
      <w:r w:rsidRPr="001E3097">
        <w:rPr>
          <w:rFonts w:ascii="Garamond" w:hAnsi="Garamond"/>
          <w:color w:val="000000"/>
          <w:sz w:val="25"/>
          <w:szCs w:val="25"/>
        </w:rPr>
        <w:t>Even taking as</w:t>
      </w:r>
      <w:r w:rsidR="000121AF">
        <w:rPr>
          <w:rFonts w:ascii="Garamond" w:hAnsi="Garamond"/>
          <w:color w:val="000000"/>
          <w:sz w:val="25"/>
          <w:szCs w:val="25"/>
        </w:rPr>
        <w:t xml:space="preserve"> true all facts alleged in the C</w:t>
      </w:r>
      <w:r w:rsidRPr="001E3097">
        <w:rPr>
          <w:rFonts w:ascii="Garamond" w:hAnsi="Garamond"/>
          <w:color w:val="000000"/>
          <w:sz w:val="25"/>
          <w:szCs w:val="25"/>
        </w:rPr>
        <w:t>o</w:t>
      </w:r>
      <w:r w:rsidR="00956B0E" w:rsidRPr="001E3097">
        <w:rPr>
          <w:rFonts w:ascii="Garamond" w:hAnsi="Garamond"/>
          <w:color w:val="000000"/>
          <w:sz w:val="25"/>
          <w:szCs w:val="25"/>
        </w:rPr>
        <w:t xml:space="preserve">mplaint, </w:t>
      </w:r>
      <w:r w:rsidR="00A30C35" w:rsidRPr="001E3097">
        <w:rPr>
          <w:rFonts w:ascii="Garamond" w:hAnsi="Garamond"/>
          <w:color w:val="000000"/>
          <w:sz w:val="25"/>
          <w:szCs w:val="25"/>
        </w:rPr>
        <w:t xml:space="preserve">the </w:t>
      </w:r>
      <w:r w:rsidR="00C4257B" w:rsidRPr="001E3097">
        <w:rPr>
          <w:rFonts w:ascii="Garamond" w:hAnsi="Garamond"/>
          <w:color w:val="000000"/>
          <w:sz w:val="25"/>
          <w:szCs w:val="25"/>
        </w:rPr>
        <w:t>Plaintiff</w:t>
      </w:r>
      <w:r w:rsidR="00A30C35" w:rsidRPr="001E3097">
        <w:rPr>
          <w:rFonts w:ascii="Garamond" w:hAnsi="Garamond"/>
          <w:color w:val="000000"/>
          <w:sz w:val="25"/>
          <w:szCs w:val="25"/>
        </w:rPr>
        <w:t xml:space="preserve"> cannot </w:t>
      </w:r>
      <w:r w:rsidR="001C354F" w:rsidRPr="001E3097">
        <w:rPr>
          <w:rFonts w:ascii="Garamond" w:hAnsi="Garamond"/>
          <w:color w:val="000000"/>
          <w:sz w:val="25"/>
          <w:szCs w:val="25"/>
        </w:rPr>
        <w:t xml:space="preserve">legally </w:t>
      </w:r>
      <w:r w:rsidR="00A30C35" w:rsidRPr="001E3097">
        <w:rPr>
          <w:rFonts w:ascii="Garamond" w:hAnsi="Garamond"/>
          <w:color w:val="000000"/>
          <w:sz w:val="25"/>
          <w:szCs w:val="25"/>
        </w:rPr>
        <w:t>show</w:t>
      </w:r>
      <w:r w:rsidRPr="001E3097">
        <w:rPr>
          <w:rFonts w:ascii="Garamond" w:hAnsi="Garamond"/>
          <w:color w:val="000000"/>
          <w:sz w:val="25"/>
          <w:szCs w:val="25"/>
        </w:rPr>
        <w:t xml:space="preserve"> that Plaintiff owns a copyright under the Copyright Act of 1976 because</w:t>
      </w:r>
      <w:r w:rsidR="000121AF">
        <w:rPr>
          <w:rFonts w:ascii="Garamond" w:hAnsi="Garamond"/>
          <w:color w:val="000000"/>
          <w:sz w:val="25"/>
          <w:szCs w:val="25"/>
        </w:rPr>
        <w:t xml:space="preserve"> the C</w:t>
      </w:r>
      <w:r w:rsidR="00A30C35" w:rsidRPr="001E3097">
        <w:rPr>
          <w:rFonts w:ascii="Garamond" w:hAnsi="Garamond"/>
          <w:color w:val="000000"/>
          <w:sz w:val="25"/>
          <w:szCs w:val="25"/>
        </w:rPr>
        <w:t xml:space="preserve">omplaint </w:t>
      </w:r>
      <w:r w:rsidR="00C4257B" w:rsidRPr="001E3097">
        <w:rPr>
          <w:rFonts w:ascii="Garamond" w:hAnsi="Garamond"/>
          <w:color w:val="000000"/>
          <w:sz w:val="25"/>
          <w:szCs w:val="25"/>
        </w:rPr>
        <w:t>concedes</w:t>
      </w:r>
      <w:r w:rsidR="00A30C35" w:rsidRPr="001E3097">
        <w:rPr>
          <w:rFonts w:ascii="Garamond" w:hAnsi="Garamond"/>
          <w:color w:val="000000"/>
          <w:sz w:val="25"/>
          <w:szCs w:val="25"/>
        </w:rPr>
        <w:t xml:space="preserve"> that no written agreement existed before the creation of the work. Without a preexisting written agreement</w:t>
      </w:r>
      <w:r w:rsidR="00C4257B" w:rsidRPr="001E3097">
        <w:rPr>
          <w:rFonts w:ascii="Garamond" w:hAnsi="Garamond"/>
          <w:color w:val="000000"/>
          <w:sz w:val="25"/>
          <w:szCs w:val="25"/>
        </w:rPr>
        <w:t>,</w:t>
      </w:r>
      <w:r w:rsidR="00A30C35" w:rsidRPr="001E3097">
        <w:rPr>
          <w:rFonts w:ascii="Garamond" w:hAnsi="Garamond"/>
          <w:color w:val="000000"/>
          <w:sz w:val="25"/>
          <w:szCs w:val="25"/>
        </w:rPr>
        <w:t xml:space="preserve"> the Plaintiff does not own </w:t>
      </w:r>
      <w:r w:rsidR="00956B0E" w:rsidRPr="001E3097">
        <w:rPr>
          <w:rFonts w:ascii="Garamond" w:hAnsi="Garamond"/>
          <w:color w:val="000000"/>
          <w:sz w:val="25"/>
          <w:szCs w:val="25"/>
        </w:rPr>
        <w:t xml:space="preserve">an enforceable copyright, </w:t>
      </w:r>
      <w:r w:rsidR="003561A9" w:rsidRPr="001E3097">
        <w:rPr>
          <w:rFonts w:ascii="Garamond" w:hAnsi="Garamond"/>
          <w:color w:val="000000"/>
          <w:sz w:val="25"/>
          <w:szCs w:val="25"/>
        </w:rPr>
        <w:t>and</w:t>
      </w:r>
      <w:r w:rsidR="00956B0E" w:rsidRPr="001E3097">
        <w:rPr>
          <w:rFonts w:ascii="Garamond" w:hAnsi="Garamond"/>
          <w:color w:val="000000"/>
          <w:sz w:val="25"/>
          <w:szCs w:val="25"/>
        </w:rPr>
        <w:t xml:space="preserve"> no</w:t>
      </w:r>
      <w:r w:rsidR="00A30C35" w:rsidRPr="001E3097">
        <w:rPr>
          <w:rFonts w:ascii="Garamond" w:hAnsi="Garamond"/>
          <w:color w:val="000000"/>
          <w:sz w:val="25"/>
          <w:szCs w:val="25"/>
        </w:rPr>
        <w:t xml:space="preserve"> additional set of facts can entitle the Plaintiff to recover. The complaint has failed to set forth a cause of action and</w:t>
      </w:r>
      <w:r w:rsidR="003561A9" w:rsidRPr="001E3097">
        <w:rPr>
          <w:rFonts w:ascii="Garamond" w:hAnsi="Garamond"/>
          <w:color w:val="000000"/>
          <w:sz w:val="25"/>
          <w:szCs w:val="25"/>
        </w:rPr>
        <w:t>,</w:t>
      </w:r>
      <w:r w:rsidR="00A30C35" w:rsidRPr="001E3097">
        <w:rPr>
          <w:rFonts w:ascii="Garamond" w:hAnsi="Garamond"/>
          <w:color w:val="000000"/>
          <w:sz w:val="25"/>
          <w:szCs w:val="25"/>
        </w:rPr>
        <w:t xml:space="preserve"> therefore</w:t>
      </w:r>
      <w:r w:rsidR="003561A9" w:rsidRPr="001E3097">
        <w:rPr>
          <w:rFonts w:ascii="Garamond" w:hAnsi="Garamond"/>
          <w:color w:val="000000"/>
          <w:sz w:val="25"/>
          <w:szCs w:val="25"/>
        </w:rPr>
        <w:t>,</w:t>
      </w:r>
      <w:r w:rsidR="00A30C35" w:rsidRPr="001E3097">
        <w:rPr>
          <w:rFonts w:ascii="Garamond" w:hAnsi="Garamond"/>
          <w:color w:val="000000"/>
          <w:sz w:val="25"/>
          <w:szCs w:val="25"/>
        </w:rPr>
        <w:t xml:space="preserve"> should be dismissed. </w:t>
      </w:r>
    </w:p>
    <w:p w14:paraId="5C9B3A39" w14:textId="551ACBF7" w:rsidR="00D65F61" w:rsidRPr="001E3097" w:rsidRDefault="00D65F61" w:rsidP="00C17F9D">
      <w:pPr>
        <w:spacing w:line="480" w:lineRule="auto"/>
        <w:jc w:val="center"/>
        <w:rPr>
          <w:rFonts w:ascii="Garamond" w:hAnsi="Garamond"/>
          <w:b/>
          <w:color w:val="000000"/>
          <w:sz w:val="25"/>
          <w:szCs w:val="25"/>
        </w:rPr>
      </w:pPr>
      <w:r w:rsidRPr="001E3097">
        <w:rPr>
          <w:rFonts w:ascii="Garamond" w:hAnsi="Garamond"/>
          <w:b/>
          <w:color w:val="000000"/>
          <w:sz w:val="25"/>
          <w:szCs w:val="25"/>
        </w:rPr>
        <w:t>ARGUMENT</w:t>
      </w:r>
    </w:p>
    <w:p w14:paraId="3DE6FF7B" w14:textId="44BC0AF1" w:rsidR="00C64246" w:rsidRPr="001E3097" w:rsidRDefault="004A2042" w:rsidP="00F46E1C">
      <w:pPr>
        <w:spacing w:line="480" w:lineRule="auto"/>
        <w:rPr>
          <w:rFonts w:ascii="Garamond" w:hAnsi="Garamond"/>
          <w:color w:val="000000"/>
          <w:sz w:val="25"/>
          <w:szCs w:val="25"/>
        </w:rPr>
      </w:pPr>
      <w:r w:rsidRPr="001E3097">
        <w:rPr>
          <w:rFonts w:ascii="Garamond" w:hAnsi="Garamond"/>
          <w:color w:val="000000"/>
          <w:sz w:val="25"/>
          <w:szCs w:val="25"/>
        </w:rPr>
        <w:tab/>
        <w:t>The requirement of a written instrument prior to the</w:t>
      </w:r>
      <w:r w:rsidR="00137517">
        <w:rPr>
          <w:rFonts w:ascii="Garamond" w:hAnsi="Garamond"/>
          <w:color w:val="000000"/>
          <w:sz w:val="25"/>
          <w:szCs w:val="25"/>
        </w:rPr>
        <w:t xml:space="preserve"> creation of a work for it to qualify as</w:t>
      </w:r>
      <w:r w:rsidRPr="001E3097">
        <w:rPr>
          <w:rFonts w:ascii="Garamond" w:hAnsi="Garamond"/>
          <w:color w:val="000000"/>
          <w:sz w:val="25"/>
          <w:szCs w:val="25"/>
        </w:rPr>
        <w:t xml:space="preserve"> a work made for hire may be</w:t>
      </w:r>
      <w:r w:rsidR="000D0E38" w:rsidRPr="001E3097">
        <w:rPr>
          <w:rFonts w:ascii="Garamond" w:hAnsi="Garamond"/>
          <w:color w:val="000000"/>
          <w:sz w:val="25"/>
          <w:szCs w:val="25"/>
        </w:rPr>
        <w:t xml:space="preserve"> reasonably</w:t>
      </w:r>
      <w:r w:rsidRPr="001E3097">
        <w:rPr>
          <w:rFonts w:ascii="Garamond" w:hAnsi="Garamond"/>
          <w:color w:val="000000"/>
          <w:sz w:val="25"/>
          <w:szCs w:val="25"/>
        </w:rPr>
        <w:t xml:space="preserve"> inferred from the</w:t>
      </w:r>
      <w:r w:rsidR="00137517">
        <w:rPr>
          <w:rFonts w:ascii="Garamond" w:hAnsi="Garamond"/>
          <w:color w:val="000000"/>
          <w:sz w:val="25"/>
          <w:szCs w:val="25"/>
        </w:rPr>
        <w:t xml:space="preserve"> plain</w:t>
      </w:r>
      <w:r w:rsidRPr="001E3097">
        <w:rPr>
          <w:rFonts w:ascii="Garamond" w:hAnsi="Garamond"/>
          <w:color w:val="000000"/>
          <w:sz w:val="25"/>
          <w:szCs w:val="25"/>
        </w:rPr>
        <w:t xml:space="preserve"> language of the statute, 17 U.S.C. </w:t>
      </w:r>
      <w:r w:rsidRPr="001E3097">
        <w:rPr>
          <w:rFonts w:ascii="Garamond" w:hAnsi="Garamond" w:cs="Lucida Grande"/>
          <w:color w:val="000000"/>
          <w:sz w:val="25"/>
          <w:szCs w:val="25"/>
        </w:rPr>
        <w:t xml:space="preserve">§ </w:t>
      </w:r>
      <w:r w:rsidRPr="001E3097">
        <w:rPr>
          <w:rFonts w:ascii="Garamond" w:hAnsi="Garamond"/>
          <w:color w:val="000000"/>
          <w:sz w:val="25"/>
          <w:szCs w:val="25"/>
        </w:rPr>
        <w:t xml:space="preserve">101(2). That conclusion is </w:t>
      </w:r>
      <w:r w:rsidR="000D0E38" w:rsidRPr="001E3097">
        <w:rPr>
          <w:rFonts w:ascii="Garamond" w:hAnsi="Garamond"/>
          <w:color w:val="000000"/>
          <w:sz w:val="25"/>
          <w:szCs w:val="25"/>
        </w:rPr>
        <w:t>likewise</w:t>
      </w:r>
      <w:r w:rsidRPr="001E3097">
        <w:rPr>
          <w:rFonts w:ascii="Garamond" w:hAnsi="Garamond"/>
          <w:color w:val="000000"/>
          <w:sz w:val="25"/>
          <w:szCs w:val="25"/>
        </w:rPr>
        <w:t xml:space="preserve"> supported by the structu</w:t>
      </w:r>
      <w:r w:rsidR="00C64246" w:rsidRPr="001E3097">
        <w:rPr>
          <w:rFonts w:ascii="Garamond" w:hAnsi="Garamond"/>
          <w:color w:val="000000"/>
          <w:sz w:val="25"/>
          <w:szCs w:val="25"/>
        </w:rPr>
        <w:t xml:space="preserve">ral context of the statute, </w:t>
      </w:r>
      <w:r w:rsidRPr="001E3097">
        <w:rPr>
          <w:rFonts w:ascii="Garamond" w:hAnsi="Garamond"/>
          <w:color w:val="000000"/>
          <w:sz w:val="25"/>
          <w:szCs w:val="25"/>
        </w:rPr>
        <w:t xml:space="preserve">legislative </w:t>
      </w:r>
      <w:r w:rsidR="000D0E38" w:rsidRPr="001E3097">
        <w:rPr>
          <w:rFonts w:ascii="Garamond" w:hAnsi="Garamond"/>
          <w:color w:val="000000"/>
          <w:sz w:val="25"/>
          <w:szCs w:val="25"/>
        </w:rPr>
        <w:t>intent</w:t>
      </w:r>
      <w:r w:rsidRPr="001E3097">
        <w:rPr>
          <w:rFonts w:ascii="Garamond" w:hAnsi="Garamond"/>
          <w:color w:val="000000"/>
          <w:sz w:val="25"/>
          <w:szCs w:val="25"/>
        </w:rPr>
        <w:t>, agency interpretation</w:t>
      </w:r>
      <w:r w:rsidR="00137517">
        <w:rPr>
          <w:rFonts w:ascii="Garamond" w:hAnsi="Garamond"/>
          <w:color w:val="000000"/>
          <w:sz w:val="25"/>
          <w:szCs w:val="25"/>
        </w:rPr>
        <w:t>, and the rule of lenity</w:t>
      </w:r>
      <w:r w:rsidRPr="001E3097">
        <w:rPr>
          <w:rFonts w:ascii="Garamond" w:hAnsi="Garamond"/>
          <w:color w:val="000000"/>
          <w:sz w:val="25"/>
          <w:szCs w:val="25"/>
        </w:rPr>
        <w:t xml:space="preserve">. </w:t>
      </w:r>
    </w:p>
    <w:p w14:paraId="2CBEE460" w14:textId="56AA25B0" w:rsidR="004A2042" w:rsidRPr="001E3097" w:rsidRDefault="00033582" w:rsidP="007A7B8B">
      <w:pPr>
        <w:ind w:right="-180"/>
        <w:rPr>
          <w:rFonts w:ascii="Garamond" w:hAnsi="Garamond"/>
          <w:b/>
          <w:color w:val="000000"/>
          <w:sz w:val="25"/>
          <w:szCs w:val="25"/>
        </w:rPr>
      </w:pPr>
      <w:r w:rsidRPr="001E3097">
        <w:rPr>
          <w:rFonts w:ascii="Garamond" w:hAnsi="Garamond"/>
          <w:b/>
          <w:color w:val="000000"/>
          <w:sz w:val="25"/>
          <w:szCs w:val="25"/>
        </w:rPr>
        <w:t>PLAINTIFF’S COMPLAINT MUST BE DISMISSED BECAUSE THE SCREENPLAY WAS NOT A WORK MADE FOR HIRE UNDER THE COPYRIGHT ACT</w:t>
      </w:r>
      <w:r w:rsidR="007A7B8B">
        <w:rPr>
          <w:rFonts w:ascii="Garamond" w:hAnsi="Garamond"/>
          <w:b/>
          <w:color w:val="000000"/>
          <w:sz w:val="25"/>
          <w:szCs w:val="25"/>
        </w:rPr>
        <w:t>.</w:t>
      </w:r>
      <w:r w:rsidRPr="001E3097">
        <w:rPr>
          <w:rFonts w:ascii="Garamond" w:hAnsi="Garamond"/>
          <w:b/>
          <w:color w:val="000000"/>
          <w:sz w:val="25"/>
          <w:szCs w:val="25"/>
        </w:rPr>
        <w:t xml:space="preserve"> </w:t>
      </w:r>
    </w:p>
    <w:p w14:paraId="35995EB7" w14:textId="77777777" w:rsidR="00CE6ECB" w:rsidRPr="001E3097" w:rsidRDefault="00CE6ECB" w:rsidP="00CE6ECB">
      <w:pPr>
        <w:rPr>
          <w:rFonts w:ascii="Garamond" w:hAnsi="Garamond"/>
          <w:b/>
          <w:color w:val="000000"/>
          <w:sz w:val="25"/>
          <w:szCs w:val="25"/>
        </w:rPr>
      </w:pPr>
    </w:p>
    <w:p w14:paraId="4EDB08A6" w14:textId="5E9A755C" w:rsidR="007D1E76" w:rsidRPr="001E3097" w:rsidRDefault="0037009E" w:rsidP="00CE6ECB">
      <w:pPr>
        <w:rPr>
          <w:rFonts w:ascii="Garamond" w:hAnsi="Garamond"/>
          <w:b/>
          <w:color w:val="000000"/>
          <w:sz w:val="25"/>
          <w:szCs w:val="25"/>
        </w:rPr>
      </w:pPr>
      <w:r w:rsidRPr="001E3097">
        <w:rPr>
          <w:rFonts w:ascii="Garamond" w:hAnsi="Garamond"/>
          <w:b/>
          <w:color w:val="000000"/>
          <w:sz w:val="25"/>
          <w:szCs w:val="25"/>
        </w:rPr>
        <w:t>A</w:t>
      </w:r>
      <w:r w:rsidR="00542A03" w:rsidRPr="001E3097">
        <w:rPr>
          <w:rFonts w:ascii="Garamond" w:hAnsi="Garamond"/>
          <w:b/>
          <w:color w:val="000000"/>
          <w:sz w:val="25"/>
          <w:szCs w:val="25"/>
        </w:rPr>
        <w:t>. The Plain L</w:t>
      </w:r>
      <w:r w:rsidR="007D1E76" w:rsidRPr="001E3097">
        <w:rPr>
          <w:rFonts w:ascii="Garamond" w:hAnsi="Garamond"/>
          <w:b/>
          <w:color w:val="000000"/>
          <w:sz w:val="25"/>
          <w:szCs w:val="25"/>
        </w:rPr>
        <w:t xml:space="preserve">anguage </w:t>
      </w:r>
      <w:r w:rsidR="00542A03" w:rsidRPr="001E3097">
        <w:rPr>
          <w:rFonts w:ascii="Garamond" w:hAnsi="Garamond"/>
          <w:b/>
          <w:color w:val="000000"/>
          <w:sz w:val="25"/>
          <w:szCs w:val="25"/>
        </w:rPr>
        <w:t>of the Statute Requires That a Signed Writing Be Executed Before the Creation of the Work to Be a Work Made For H</w:t>
      </w:r>
      <w:r w:rsidR="007D1E76" w:rsidRPr="001E3097">
        <w:rPr>
          <w:rFonts w:ascii="Garamond" w:hAnsi="Garamond"/>
          <w:b/>
          <w:color w:val="000000"/>
          <w:sz w:val="25"/>
          <w:szCs w:val="25"/>
        </w:rPr>
        <w:t>ire.</w:t>
      </w:r>
    </w:p>
    <w:p w14:paraId="57D366EC" w14:textId="77777777" w:rsidR="00CE6ECB" w:rsidRPr="001E3097" w:rsidRDefault="00CE6ECB" w:rsidP="00CE6ECB">
      <w:pPr>
        <w:rPr>
          <w:rFonts w:ascii="Garamond" w:hAnsi="Garamond"/>
          <w:b/>
          <w:color w:val="000000"/>
          <w:sz w:val="25"/>
          <w:szCs w:val="25"/>
        </w:rPr>
      </w:pPr>
    </w:p>
    <w:p w14:paraId="4AA1C2D5" w14:textId="480B4644" w:rsidR="00E57034" w:rsidRPr="001E3097" w:rsidRDefault="007D1E76" w:rsidP="00B36FEB">
      <w:pPr>
        <w:spacing w:line="480" w:lineRule="auto"/>
        <w:rPr>
          <w:rFonts w:ascii="Garamond" w:hAnsi="Garamond" w:cs="Lucida Grande"/>
          <w:color w:val="000000"/>
          <w:sz w:val="25"/>
          <w:szCs w:val="25"/>
        </w:rPr>
      </w:pPr>
      <w:r w:rsidRPr="001E3097">
        <w:rPr>
          <w:rFonts w:ascii="Garamond" w:hAnsi="Garamond"/>
          <w:color w:val="000000"/>
          <w:sz w:val="25"/>
          <w:szCs w:val="25"/>
        </w:rPr>
        <w:tab/>
      </w:r>
      <w:r w:rsidR="00E3431C" w:rsidRPr="001E3097">
        <w:rPr>
          <w:rFonts w:ascii="Garamond" w:hAnsi="Garamond" w:cs="Lucida Grande"/>
          <w:color w:val="000000"/>
          <w:sz w:val="25"/>
          <w:szCs w:val="25"/>
        </w:rPr>
        <w:t>Court</w:t>
      </w:r>
      <w:r w:rsidR="00CE6ECB" w:rsidRPr="001E3097">
        <w:rPr>
          <w:rFonts w:ascii="Garamond" w:hAnsi="Garamond" w:cs="Lucida Grande"/>
          <w:color w:val="000000"/>
          <w:sz w:val="25"/>
          <w:szCs w:val="25"/>
        </w:rPr>
        <w:t>s</w:t>
      </w:r>
      <w:r w:rsidR="00E3431C" w:rsidRPr="001E3097">
        <w:rPr>
          <w:rFonts w:ascii="Garamond" w:hAnsi="Garamond" w:cs="Lucida Grande"/>
          <w:color w:val="000000"/>
          <w:sz w:val="25"/>
          <w:szCs w:val="25"/>
        </w:rPr>
        <w:t xml:space="preserve"> must</w:t>
      </w:r>
      <w:r w:rsidR="00B36FEB" w:rsidRPr="001E3097">
        <w:rPr>
          <w:rFonts w:ascii="Garamond" w:hAnsi="Garamond" w:cs="Lucida Grande"/>
          <w:color w:val="000000"/>
          <w:sz w:val="25"/>
          <w:szCs w:val="25"/>
        </w:rPr>
        <w:t xml:space="preserve"> </w:t>
      </w:r>
      <w:r w:rsidR="00FB028F">
        <w:rPr>
          <w:rFonts w:ascii="Garamond" w:hAnsi="Garamond" w:cs="Lucida Grande"/>
          <w:color w:val="000000"/>
          <w:sz w:val="25"/>
          <w:szCs w:val="25"/>
        </w:rPr>
        <w:t xml:space="preserve">begin </w:t>
      </w:r>
      <w:r w:rsidR="00001D07">
        <w:rPr>
          <w:rFonts w:ascii="Garamond" w:hAnsi="Garamond" w:cs="Lucida Grande"/>
          <w:color w:val="000000"/>
          <w:sz w:val="25"/>
          <w:szCs w:val="25"/>
        </w:rPr>
        <w:t xml:space="preserve">statutory </w:t>
      </w:r>
      <w:r w:rsidR="00FB028F">
        <w:rPr>
          <w:rFonts w:ascii="Garamond" w:hAnsi="Garamond" w:cs="Lucida Grande"/>
          <w:color w:val="000000"/>
          <w:sz w:val="25"/>
          <w:szCs w:val="25"/>
        </w:rPr>
        <w:t xml:space="preserve">analysis by </w:t>
      </w:r>
      <w:r w:rsidR="00B36FEB" w:rsidRPr="001E3097">
        <w:rPr>
          <w:rFonts w:ascii="Garamond" w:hAnsi="Garamond" w:cs="Lucida Grande"/>
          <w:color w:val="000000"/>
          <w:sz w:val="25"/>
          <w:szCs w:val="25"/>
        </w:rPr>
        <w:t>follow</w:t>
      </w:r>
      <w:r w:rsidR="00FB028F">
        <w:rPr>
          <w:rFonts w:ascii="Garamond" w:hAnsi="Garamond" w:cs="Lucida Grande"/>
          <w:color w:val="000000"/>
          <w:sz w:val="25"/>
          <w:szCs w:val="25"/>
        </w:rPr>
        <w:t>ing</w:t>
      </w:r>
      <w:r w:rsidR="00B36FEB" w:rsidRPr="001E3097">
        <w:rPr>
          <w:rFonts w:ascii="Garamond" w:hAnsi="Garamond" w:cs="Lucida Grande"/>
          <w:color w:val="000000"/>
          <w:sz w:val="25"/>
          <w:szCs w:val="25"/>
        </w:rPr>
        <w:t xml:space="preserve"> the plain </w:t>
      </w:r>
      <w:r w:rsidR="000121AF">
        <w:rPr>
          <w:rFonts w:ascii="Garamond" w:hAnsi="Garamond" w:cs="Lucida Grande"/>
          <w:color w:val="000000"/>
          <w:sz w:val="25"/>
          <w:szCs w:val="25"/>
        </w:rPr>
        <w:t>meaning</w:t>
      </w:r>
      <w:r w:rsidR="00B36FEB" w:rsidRPr="001E3097">
        <w:rPr>
          <w:rFonts w:ascii="Garamond" w:hAnsi="Garamond" w:cs="Lucida Grande"/>
          <w:color w:val="000000"/>
          <w:sz w:val="25"/>
          <w:szCs w:val="25"/>
        </w:rPr>
        <w:t xml:space="preserve"> of a text, construing words in their common usage.</w:t>
      </w:r>
      <w:r w:rsidR="000121AF">
        <w:rPr>
          <w:rFonts w:ascii="Garamond" w:hAnsi="Garamond" w:cs="Lucida Grande"/>
          <w:color w:val="000000"/>
          <w:sz w:val="25"/>
          <w:szCs w:val="25"/>
        </w:rPr>
        <w:t xml:space="preserve"> </w:t>
      </w:r>
      <w:r w:rsidR="000121AF" w:rsidRPr="000121AF">
        <w:rPr>
          <w:rFonts w:ascii="Garamond" w:hAnsi="Garamond" w:cs="Lucida Grande"/>
          <w:color w:val="000000"/>
          <w:sz w:val="25"/>
          <w:szCs w:val="25"/>
          <w:u w:val="single"/>
        </w:rPr>
        <w:t>Williams v. Taylor</w:t>
      </w:r>
      <w:r w:rsidR="000121AF">
        <w:rPr>
          <w:rFonts w:ascii="Garamond" w:hAnsi="Garamond" w:cs="Lucida Grande"/>
          <w:color w:val="000000"/>
          <w:sz w:val="25"/>
          <w:szCs w:val="25"/>
        </w:rPr>
        <w:t>, 529 U.S. 420, 431 (2000).</w:t>
      </w:r>
      <w:r w:rsidR="00B36FEB" w:rsidRPr="001E3097">
        <w:rPr>
          <w:rFonts w:ascii="Garamond" w:hAnsi="Garamond" w:cs="Lucida Grande"/>
          <w:color w:val="000000"/>
          <w:sz w:val="25"/>
          <w:szCs w:val="25"/>
        </w:rPr>
        <w:t xml:space="preserve"> </w:t>
      </w:r>
      <w:r w:rsidR="001470A5" w:rsidRPr="001470A5">
        <w:rPr>
          <w:rFonts w:ascii="Garamond" w:hAnsi="Garamond" w:cs="Lucida Grande"/>
          <w:color w:val="000000"/>
          <w:sz w:val="25"/>
          <w:szCs w:val="25"/>
          <w:u w:val="single"/>
        </w:rPr>
        <w:t>See</w:t>
      </w:r>
      <w:r w:rsidR="000121AF">
        <w:rPr>
          <w:rFonts w:ascii="Garamond" w:hAnsi="Garamond" w:cs="Lucida Grande"/>
          <w:color w:val="000000"/>
          <w:sz w:val="25"/>
          <w:szCs w:val="25"/>
          <w:u w:val="single"/>
        </w:rPr>
        <w:t xml:space="preserve"> also</w:t>
      </w:r>
      <w:r w:rsidR="001470A5">
        <w:rPr>
          <w:rFonts w:ascii="Garamond" w:hAnsi="Garamond" w:cs="Lucida Grande"/>
          <w:color w:val="000000"/>
          <w:sz w:val="25"/>
          <w:szCs w:val="25"/>
        </w:rPr>
        <w:t xml:space="preserve"> </w:t>
      </w:r>
      <w:r w:rsidR="00964088" w:rsidRPr="001E3097">
        <w:rPr>
          <w:rFonts w:ascii="Garamond" w:hAnsi="Garamond" w:cs="Lucida Grande"/>
          <w:color w:val="000000"/>
          <w:sz w:val="25"/>
          <w:szCs w:val="25"/>
          <w:u w:val="single"/>
        </w:rPr>
        <w:t>Smith v. United States</w:t>
      </w:r>
      <w:r w:rsidR="00964088" w:rsidRPr="001E3097">
        <w:rPr>
          <w:rFonts w:ascii="Garamond" w:hAnsi="Garamond" w:cs="Lucida Grande"/>
          <w:color w:val="000000"/>
          <w:sz w:val="25"/>
          <w:szCs w:val="25"/>
        </w:rPr>
        <w:t xml:space="preserve">, </w:t>
      </w:r>
      <w:r w:rsidR="00CE6ECB" w:rsidRPr="001E3097">
        <w:rPr>
          <w:rFonts w:ascii="Garamond" w:eastAsia="Times New Roman" w:hAnsi="Garamond" w:cs="Times New Roman"/>
          <w:color w:val="000000"/>
          <w:sz w:val="25"/>
          <w:szCs w:val="25"/>
          <w:shd w:val="clear" w:color="auto" w:fill="FFFFFF"/>
        </w:rPr>
        <w:t>508 U.S. 223, 235-</w:t>
      </w:r>
      <w:r w:rsidR="00B36FEB" w:rsidRPr="001E3097">
        <w:rPr>
          <w:rFonts w:ascii="Garamond" w:eastAsia="Times New Roman" w:hAnsi="Garamond" w:cs="Times New Roman"/>
          <w:color w:val="000000"/>
          <w:sz w:val="25"/>
          <w:szCs w:val="25"/>
          <w:shd w:val="clear" w:color="auto" w:fill="FFFFFF"/>
        </w:rPr>
        <w:t>36</w:t>
      </w:r>
      <w:r w:rsidR="0004399B" w:rsidRPr="001E3097">
        <w:rPr>
          <w:rFonts w:ascii="Garamond" w:eastAsia="Times New Roman" w:hAnsi="Garamond" w:cs="Times New Roman"/>
          <w:color w:val="000000"/>
          <w:sz w:val="25"/>
          <w:szCs w:val="25"/>
          <w:shd w:val="clear" w:color="auto" w:fill="FFFFFF"/>
        </w:rPr>
        <w:t xml:space="preserve"> (1993)</w:t>
      </w:r>
      <w:r w:rsidR="00B36FEB" w:rsidRPr="001E3097">
        <w:rPr>
          <w:rFonts w:ascii="Garamond" w:eastAsia="Times New Roman" w:hAnsi="Garamond" w:cs="Times New Roman"/>
          <w:color w:val="000000"/>
          <w:sz w:val="25"/>
          <w:szCs w:val="25"/>
          <w:shd w:val="clear" w:color="auto" w:fill="FFFFFF"/>
        </w:rPr>
        <w:t xml:space="preserve">. </w:t>
      </w:r>
      <w:r w:rsidR="00FB028F" w:rsidRPr="001E3097">
        <w:rPr>
          <w:rFonts w:ascii="Garamond" w:hAnsi="Garamond" w:cs="Lucida Grande"/>
          <w:color w:val="000000"/>
          <w:sz w:val="25"/>
          <w:szCs w:val="25"/>
        </w:rPr>
        <w:t xml:space="preserve">In interpreting a statute, common usage and grammatical rules must be obeyed by the courts, </w:t>
      </w:r>
      <w:r w:rsidR="00FB028F" w:rsidRPr="001E3097">
        <w:rPr>
          <w:rFonts w:ascii="Garamond" w:hAnsi="Garamond" w:cs="Lucida Grande"/>
          <w:color w:val="000000"/>
          <w:sz w:val="25"/>
          <w:szCs w:val="25"/>
          <w:u w:val="single"/>
        </w:rPr>
        <w:t>Crandon v. United States</w:t>
      </w:r>
      <w:r w:rsidR="00FB028F" w:rsidRPr="001E3097">
        <w:rPr>
          <w:rFonts w:ascii="Garamond" w:hAnsi="Garamond" w:cs="Lucida Grande"/>
          <w:color w:val="000000"/>
          <w:sz w:val="25"/>
          <w:szCs w:val="25"/>
        </w:rPr>
        <w:t xml:space="preserve">, 494 U.S. 152, 169 (1990) (Scalia, J., concurring) (finding that grammar as well as substance may command a result). </w:t>
      </w:r>
      <w:r w:rsidR="00FB028F" w:rsidRPr="001E3097">
        <w:rPr>
          <w:rFonts w:ascii="Garamond" w:hAnsi="Garamond"/>
          <w:color w:val="000000"/>
          <w:sz w:val="25"/>
          <w:szCs w:val="25"/>
        </w:rPr>
        <w:t xml:space="preserve">The plain language of the Copyright Act, 17 U.S.C. </w:t>
      </w:r>
      <w:r w:rsidR="00FB028F" w:rsidRPr="001E3097">
        <w:rPr>
          <w:rFonts w:ascii="Garamond" w:hAnsi="Garamond" w:cs="Lucida Grande"/>
          <w:color w:val="000000"/>
          <w:sz w:val="25"/>
          <w:szCs w:val="25"/>
        </w:rPr>
        <w:t>§ 101(2) (1976) implies that in order for a specially commissioned work to be considered a work made for hire, both parties must sign a written agreement preceding the creation of the work.</w:t>
      </w:r>
    </w:p>
    <w:p w14:paraId="6BD32B45" w14:textId="126F6C83" w:rsidR="00B36FEB" w:rsidRPr="001470A5" w:rsidRDefault="00B36FEB" w:rsidP="006219D1">
      <w:pPr>
        <w:spacing w:line="480" w:lineRule="auto"/>
        <w:rPr>
          <w:rFonts w:ascii="Garamond" w:hAnsi="Garamond" w:cs="Lucida Grande"/>
          <w:sz w:val="25"/>
          <w:szCs w:val="25"/>
        </w:rPr>
      </w:pPr>
      <w:r w:rsidRPr="001E3097">
        <w:rPr>
          <w:rFonts w:ascii="Garamond" w:hAnsi="Garamond" w:cs="Lucida Grande"/>
          <w:color w:val="000000"/>
          <w:sz w:val="25"/>
          <w:szCs w:val="25"/>
        </w:rPr>
        <w:tab/>
      </w:r>
      <w:r w:rsidR="00321AF3" w:rsidRPr="001E3097">
        <w:rPr>
          <w:rFonts w:ascii="Garamond" w:hAnsi="Garamond"/>
          <w:color w:val="000000"/>
          <w:sz w:val="25"/>
          <w:szCs w:val="25"/>
        </w:rPr>
        <w:t>The Copyright Act</w:t>
      </w:r>
      <w:r w:rsidR="00321AF3" w:rsidRPr="001E3097">
        <w:rPr>
          <w:rFonts w:ascii="Garamond" w:hAnsi="Garamond" w:cs="Lucida Grande"/>
          <w:color w:val="000000"/>
          <w:sz w:val="25"/>
          <w:szCs w:val="25"/>
        </w:rPr>
        <w:t xml:space="preserve"> establishes that “[a] ‘work made for hire’ </w:t>
      </w:r>
      <w:r w:rsidR="00321AF3" w:rsidRPr="001E3097">
        <w:rPr>
          <w:rFonts w:ascii="Garamond" w:hAnsi="Garamond" w:cs="Lucida Grande"/>
          <w:i/>
          <w:color w:val="000000"/>
          <w:sz w:val="25"/>
          <w:szCs w:val="25"/>
        </w:rPr>
        <w:t>is</w:t>
      </w:r>
      <w:r w:rsidR="006219D1" w:rsidRPr="001E3097">
        <w:rPr>
          <w:rFonts w:ascii="Garamond" w:hAnsi="Garamond" w:cs="Lucida Grande"/>
          <w:i/>
          <w:color w:val="000000"/>
          <w:sz w:val="25"/>
          <w:szCs w:val="25"/>
        </w:rPr>
        <w:t xml:space="preserve"> </w:t>
      </w:r>
      <w:r w:rsidR="00321AF3" w:rsidRPr="001E3097">
        <w:rPr>
          <w:rFonts w:ascii="Garamond" w:hAnsi="Garamond" w:cs="Lucida Grande"/>
          <w:color w:val="000000"/>
          <w:sz w:val="25"/>
          <w:szCs w:val="25"/>
        </w:rPr>
        <w:t>. . . a work specially ordered or commissioned for use as a contribution to a collective work, as part of a motion picture</w:t>
      </w:r>
      <w:r w:rsidR="006219D1" w:rsidRPr="001E3097">
        <w:rPr>
          <w:rFonts w:ascii="Garamond" w:hAnsi="Garamond" w:cs="Lucida Grande"/>
          <w:color w:val="000000"/>
          <w:sz w:val="25"/>
          <w:szCs w:val="25"/>
        </w:rPr>
        <w:t xml:space="preserve"> </w:t>
      </w:r>
      <w:r w:rsidR="00321AF3" w:rsidRPr="001E3097">
        <w:rPr>
          <w:rFonts w:ascii="Garamond" w:hAnsi="Garamond" w:cs="Lucida Grande"/>
          <w:color w:val="000000"/>
          <w:sz w:val="25"/>
          <w:szCs w:val="25"/>
        </w:rPr>
        <w:t xml:space="preserve">. . . if the parties expressly agree in a written instrument </w:t>
      </w:r>
      <w:r w:rsidR="00321AF3" w:rsidRPr="001E3097">
        <w:rPr>
          <w:rFonts w:ascii="Garamond" w:hAnsi="Garamond" w:cs="Lucida Grande"/>
          <w:i/>
          <w:color w:val="000000"/>
          <w:sz w:val="25"/>
          <w:szCs w:val="25"/>
        </w:rPr>
        <w:t>signed</w:t>
      </w:r>
      <w:r w:rsidR="00321AF3" w:rsidRPr="001E3097">
        <w:rPr>
          <w:rFonts w:ascii="Garamond" w:hAnsi="Garamond" w:cs="Lucida Grande"/>
          <w:color w:val="000000"/>
          <w:sz w:val="25"/>
          <w:szCs w:val="25"/>
        </w:rPr>
        <w:t xml:space="preserve"> by them that the work </w:t>
      </w:r>
      <w:r w:rsidR="00321AF3" w:rsidRPr="001E3097">
        <w:rPr>
          <w:rFonts w:ascii="Garamond" w:hAnsi="Garamond" w:cs="Lucida Grande"/>
          <w:i/>
          <w:color w:val="000000"/>
          <w:sz w:val="25"/>
          <w:szCs w:val="25"/>
        </w:rPr>
        <w:t>shall be</w:t>
      </w:r>
      <w:r w:rsidR="00321AF3" w:rsidRPr="001E3097">
        <w:rPr>
          <w:rFonts w:ascii="Garamond" w:hAnsi="Garamond" w:cs="Lucida Grande"/>
          <w:color w:val="000000"/>
          <w:sz w:val="25"/>
          <w:szCs w:val="25"/>
        </w:rPr>
        <w:t xml:space="preserve"> considered a work for hire.” </w:t>
      </w:r>
      <w:r w:rsidR="00321AF3" w:rsidRPr="001E3097">
        <w:rPr>
          <w:rFonts w:ascii="Garamond" w:hAnsi="Garamond"/>
          <w:color w:val="000000"/>
          <w:sz w:val="25"/>
          <w:szCs w:val="25"/>
        </w:rPr>
        <w:t xml:space="preserve">17 U.S.C. </w:t>
      </w:r>
      <w:r w:rsidR="00321AF3" w:rsidRPr="001E3097">
        <w:rPr>
          <w:rFonts w:ascii="Garamond" w:hAnsi="Garamond" w:cs="Lucida Grande"/>
          <w:color w:val="000000"/>
          <w:sz w:val="25"/>
          <w:szCs w:val="25"/>
        </w:rPr>
        <w:t>§ 101</w:t>
      </w:r>
      <w:r w:rsidR="002D5B12" w:rsidRPr="001E3097">
        <w:rPr>
          <w:rFonts w:ascii="Garamond" w:hAnsi="Garamond" w:cs="Lucida Grande"/>
          <w:color w:val="000000"/>
          <w:sz w:val="25"/>
          <w:szCs w:val="25"/>
        </w:rPr>
        <w:t>(2)</w:t>
      </w:r>
      <w:r w:rsidR="00321AF3" w:rsidRPr="001E3097">
        <w:rPr>
          <w:rFonts w:ascii="Garamond" w:hAnsi="Garamond" w:cs="Lucida Grande"/>
          <w:color w:val="000000"/>
          <w:sz w:val="25"/>
          <w:szCs w:val="25"/>
        </w:rPr>
        <w:t xml:space="preserve"> (emphasis added). </w:t>
      </w:r>
      <w:r w:rsidR="00FB028F">
        <w:rPr>
          <w:rFonts w:ascii="Garamond" w:hAnsi="Garamond" w:cs="Lucida Grande"/>
          <w:color w:val="000000"/>
          <w:sz w:val="25"/>
          <w:szCs w:val="25"/>
        </w:rPr>
        <w:t>It is a fundamental tenet of copyright law that a</w:t>
      </w:r>
      <w:r w:rsidR="00321AF3" w:rsidRPr="001E3097">
        <w:rPr>
          <w:rFonts w:ascii="Garamond" w:hAnsi="Garamond" w:cs="Lucida Grande"/>
          <w:color w:val="000000"/>
          <w:sz w:val="25"/>
          <w:szCs w:val="25"/>
        </w:rPr>
        <w:t xml:space="preserve"> work made for hire “is”, exists, and </w:t>
      </w:r>
      <w:r w:rsidR="00964088" w:rsidRPr="001E3097">
        <w:rPr>
          <w:rFonts w:ascii="Garamond" w:hAnsi="Garamond" w:cs="Lucida Grande"/>
          <w:color w:val="000000"/>
          <w:sz w:val="25"/>
          <w:szCs w:val="25"/>
        </w:rPr>
        <w:t>becomes</w:t>
      </w:r>
      <w:r w:rsidR="00321AF3" w:rsidRPr="001E3097">
        <w:rPr>
          <w:rFonts w:ascii="Garamond" w:hAnsi="Garamond" w:cs="Lucida Grande"/>
          <w:color w:val="000000"/>
          <w:sz w:val="25"/>
          <w:szCs w:val="25"/>
        </w:rPr>
        <w:t xml:space="preserve"> legally protected by copyright from the </w:t>
      </w:r>
      <w:r w:rsidR="000121AF">
        <w:rPr>
          <w:rFonts w:ascii="Garamond" w:hAnsi="Garamond" w:cs="Lucida Grande"/>
          <w:color w:val="000000"/>
          <w:sz w:val="25"/>
          <w:szCs w:val="25"/>
        </w:rPr>
        <w:t>moment</w:t>
      </w:r>
      <w:r w:rsidR="00964088" w:rsidRPr="001E3097">
        <w:rPr>
          <w:rFonts w:ascii="Garamond" w:hAnsi="Garamond" w:cs="Lucida Grande"/>
          <w:color w:val="000000"/>
          <w:sz w:val="25"/>
          <w:szCs w:val="25"/>
        </w:rPr>
        <w:t xml:space="preserve"> it is created in a fixed form.</w:t>
      </w:r>
      <w:r w:rsidR="00964088" w:rsidRPr="001E3097">
        <w:rPr>
          <w:rFonts w:ascii="Garamond" w:hAnsi="Garamond"/>
          <w:color w:val="000000"/>
          <w:sz w:val="25"/>
          <w:szCs w:val="25"/>
        </w:rPr>
        <w:t xml:space="preserve"> 17 U.S.C. </w:t>
      </w:r>
      <w:r w:rsidR="00964088" w:rsidRPr="001E3097">
        <w:rPr>
          <w:rFonts w:ascii="Garamond" w:hAnsi="Garamond" w:cs="Lucida Grande"/>
          <w:color w:val="000000"/>
          <w:sz w:val="25"/>
          <w:szCs w:val="25"/>
        </w:rPr>
        <w:t xml:space="preserve">§ 102(a). </w:t>
      </w:r>
      <w:r w:rsidR="00321AF3" w:rsidRPr="001E3097">
        <w:rPr>
          <w:rFonts w:ascii="Garamond" w:hAnsi="Garamond" w:cs="Lucida Grande"/>
          <w:color w:val="000000"/>
          <w:sz w:val="25"/>
          <w:szCs w:val="25"/>
        </w:rPr>
        <w:t xml:space="preserve">The written instrument must have been “signed”—in the past tense—prior to the instant of the creation of the work. </w:t>
      </w:r>
      <w:r w:rsidR="00CE6ECB" w:rsidRPr="001E3097">
        <w:rPr>
          <w:rFonts w:ascii="Garamond" w:hAnsi="Garamond" w:cs="Lucida Grande"/>
          <w:color w:val="000000"/>
          <w:sz w:val="25"/>
          <w:szCs w:val="25"/>
          <w:u w:val="single"/>
        </w:rPr>
        <w:t>Id</w:t>
      </w:r>
      <w:r w:rsidR="00CE6ECB" w:rsidRPr="001E3097">
        <w:rPr>
          <w:rFonts w:ascii="Garamond" w:hAnsi="Garamond" w:cs="Lucida Grande"/>
          <w:color w:val="000000"/>
          <w:sz w:val="25"/>
          <w:szCs w:val="25"/>
        </w:rPr>
        <w:t xml:space="preserve">. </w:t>
      </w:r>
      <w:r w:rsidR="00321AF3" w:rsidRPr="001E3097">
        <w:rPr>
          <w:rFonts w:ascii="Garamond" w:hAnsi="Garamond" w:cs="Lucida Grande"/>
          <w:color w:val="000000"/>
          <w:sz w:val="25"/>
          <w:szCs w:val="25"/>
        </w:rPr>
        <w:t xml:space="preserve">The written instrument </w:t>
      </w:r>
      <w:r w:rsidR="0023123C" w:rsidRPr="001E3097">
        <w:rPr>
          <w:rFonts w:ascii="Garamond" w:hAnsi="Garamond" w:cs="Lucida Grande"/>
          <w:color w:val="000000"/>
          <w:sz w:val="25"/>
          <w:szCs w:val="25"/>
        </w:rPr>
        <w:t>consecrates</w:t>
      </w:r>
      <w:r w:rsidR="00321AF3" w:rsidRPr="001E3097">
        <w:rPr>
          <w:rFonts w:ascii="Garamond" w:hAnsi="Garamond" w:cs="Lucida Grande"/>
          <w:color w:val="000000"/>
          <w:sz w:val="25"/>
          <w:szCs w:val="25"/>
        </w:rPr>
        <w:t xml:space="preserve"> </w:t>
      </w:r>
      <w:r w:rsidR="000121AF">
        <w:rPr>
          <w:rFonts w:ascii="Garamond" w:hAnsi="Garamond" w:cs="Lucida Grande"/>
          <w:color w:val="000000"/>
          <w:sz w:val="25"/>
          <w:szCs w:val="25"/>
        </w:rPr>
        <w:t>a</w:t>
      </w:r>
      <w:r w:rsidR="00321AF3" w:rsidRPr="001E3097">
        <w:rPr>
          <w:rFonts w:ascii="Garamond" w:hAnsi="Garamond" w:cs="Lucida Grande"/>
          <w:color w:val="000000"/>
          <w:sz w:val="25"/>
          <w:szCs w:val="25"/>
        </w:rPr>
        <w:t xml:space="preserve"> prospective consideration (“shall be considered”) of the work as a work made for hire</w:t>
      </w:r>
      <w:r w:rsidR="0023123C" w:rsidRPr="001E3097">
        <w:rPr>
          <w:rFonts w:ascii="Garamond" w:hAnsi="Garamond" w:cs="Lucida Grande"/>
          <w:color w:val="000000"/>
          <w:sz w:val="25"/>
          <w:szCs w:val="25"/>
        </w:rPr>
        <w:t xml:space="preserve"> when it has been rendered in a fixed form</w:t>
      </w:r>
      <w:r w:rsidR="00321AF3" w:rsidRPr="001E3097">
        <w:rPr>
          <w:rFonts w:ascii="Garamond" w:hAnsi="Garamond" w:cs="Lucida Grande"/>
          <w:color w:val="000000"/>
          <w:sz w:val="25"/>
          <w:szCs w:val="25"/>
        </w:rPr>
        <w:t>.</w:t>
      </w:r>
      <w:r w:rsidR="00C2219D" w:rsidRPr="001E3097">
        <w:rPr>
          <w:rFonts w:ascii="Garamond" w:hAnsi="Garamond" w:cs="Lucida Grande"/>
          <w:color w:val="000000"/>
          <w:sz w:val="25"/>
          <w:szCs w:val="25"/>
        </w:rPr>
        <w:t xml:space="preserve"> </w:t>
      </w:r>
      <w:r w:rsidR="00C2219D" w:rsidRPr="001E3097">
        <w:rPr>
          <w:rFonts w:ascii="Garamond" w:hAnsi="Garamond" w:cs="Lucida Grande"/>
          <w:color w:val="000000"/>
          <w:sz w:val="25"/>
          <w:szCs w:val="25"/>
          <w:u w:val="single"/>
        </w:rPr>
        <w:t>Id</w:t>
      </w:r>
      <w:r w:rsidR="00C2219D" w:rsidRPr="001E3097">
        <w:rPr>
          <w:rFonts w:ascii="Garamond" w:hAnsi="Garamond" w:cs="Lucida Grande"/>
          <w:color w:val="000000"/>
          <w:sz w:val="25"/>
          <w:szCs w:val="25"/>
        </w:rPr>
        <w:t>.</w:t>
      </w:r>
      <w:r w:rsidR="00321AF3" w:rsidRPr="001E3097">
        <w:rPr>
          <w:rFonts w:ascii="Garamond" w:hAnsi="Garamond" w:cs="Lucida Grande"/>
          <w:color w:val="000000"/>
          <w:sz w:val="25"/>
          <w:szCs w:val="25"/>
        </w:rPr>
        <w:t xml:space="preserve"> </w:t>
      </w:r>
      <w:r w:rsidR="00C2219D" w:rsidRPr="001E3097">
        <w:rPr>
          <w:rFonts w:ascii="Garamond" w:hAnsi="Garamond" w:cs="Lucida Grande"/>
          <w:color w:val="000000"/>
          <w:sz w:val="25"/>
          <w:szCs w:val="25"/>
        </w:rPr>
        <w:t>As such, this Court</w:t>
      </w:r>
      <w:r w:rsidR="009C1794" w:rsidRPr="001E3097">
        <w:rPr>
          <w:rFonts w:ascii="Garamond" w:hAnsi="Garamond" w:cs="Lucida Grande"/>
          <w:color w:val="000000"/>
          <w:sz w:val="25"/>
          <w:szCs w:val="25"/>
        </w:rPr>
        <w:t xml:space="preserve"> must</w:t>
      </w:r>
      <w:r w:rsidR="00C2219D" w:rsidRPr="001E3097">
        <w:rPr>
          <w:rFonts w:ascii="Garamond" w:hAnsi="Garamond" w:cs="Lucida Grande"/>
          <w:color w:val="000000"/>
          <w:sz w:val="25"/>
          <w:szCs w:val="25"/>
        </w:rPr>
        <w:t xml:space="preserve"> conclude that the statute prescribes a signed written instrument prior to the creation of the work </w:t>
      </w:r>
      <w:r w:rsidR="00FB028F">
        <w:rPr>
          <w:rFonts w:ascii="Garamond" w:hAnsi="Garamond" w:cs="Lucida Grande"/>
          <w:color w:val="000000"/>
          <w:sz w:val="25"/>
          <w:szCs w:val="25"/>
        </w:rPr>
        <w:t>if</w:t>
      </w:r>
      <w:r w:rsidR="00C2219D" w:rsidRPr="001E3097">
        <w:rPr>
          <w:rFonts w:ascii="Garamond" w:hAnsi="Garamond" w:cs="Lucida Grande"/>
          <w:color w:val="000000"/>
          <w:sz w:val="25"/>
          <w:szCs w:val="25"/>
        </w:rPr>
        <w:t xml:space="preserve"> it shall be considered a work made for hire.</w:t>
      </w:r>
    </w:p>
    <w:p w14:paraId="18CCBB3E" w14:textId="476CA6E5" w:rsidR="000D4F16" w:rsidRPr="001470A5" w:rsidRDefault="0023123C" w:rsidP="008B4661">
      <w:pPr>
        <w:spacing w:line="480" w:lineRule="auto"/>
        <w:rPr>
          <w:rFonts w:ascii="Garamond" w:eastAsia="Times New Roman" w:hAnsi="Garamond" w:cs="Times New Roman"/>
          <w:sz w:val="25"/>
          <w:szCs w:val="25"/>
        </w:rPr>
      </w:pPr>
      <w:r w:rsidRPr="001470A5">
        <w:rPr>
          <w:rFonts w:ascii="Garamond" w:hAnsi="Garamond" w:cs="Lucida Grande"/>
          <w:sz w:val="25"/>
          <w:szCs w:val="25"/>
        </w:rPr>
        <w:tab/>
      </w:r>
      <w:r w:rsidR="00B91589" w:rsidRPr="001470A5">
        <w:rPr>
          <w:rFonts w:ascii="Garamond" w:hAnsi="Garamond" w:cs="Lucida Grande"/>
          <w:sz w:val="25"/>
          <w:szCs w:val="25"/>
        </w:rPr>
        <w:t xml:space="preserve">At least </w:t>
      </w:r>
      <w:r w:rsidR="006A196E" w:rsidRPr="001470A5">
        <w:rPr>
          <w:rFonts w:ascii="Garamond" w:hAnsi="Garamond" w:cs="Lucida Grande"/>
          <w:sz w:val="25"/>
          <w:szCs w:val="25"/>
        </w:rPr>
        <w:t xml:space="preserve">one </w:t>
      </w:r>
      <w:r w:rsidR="001470A5" w:rsidRPr="001470A5">
        <w:rPr>
          <w:rFonts w:ascii="Garamond" w:hAnsi="Garamond" w:cs="Lucida Grande"/>
          <w:sz w:val="25"/>
          <w:szCs w:val="25"/>
        </w:rPr>
        <w:t>Court of Appeals</w:t>
      </w:r>
      <w:r w:rsidR="006A196E" w:rsidRPr="001470A5">
        <w:rPr>
          <w:rFonts w:ascii="Garamond" w:hAnsi="Garamond" w:cs="Lucida Grande"/>
          <w:sz w:val="25"/>
          <w:szCs w:val="25"/>
        </w:rPr>
        <w:t xml:space="preserve"> </w:t>
      </w:r>
      <w:r w:rsidR="006219D1" w:rsidRPr="001470A5">
        <w:rPr>
          <w:rFonts w:ascii="Garamond" w:hAnsi="Garamond" w:cs="Lucida Grande"/>
          <w:sz w:val="25"/>
          <w:szCs w:val="25"/>
        </w:rPr>
        <w:t>has</w:t>
      </w:r>
      <w:r w:rsidR="0020361D" w:rsidRPr="001470A5">
        <w:rPr>
          <w:rFonts w:ascii="Garamond" w:hAnsi="Garamond" w:cs="Lucida Grande"/>
          <w:sz w:val="25"/>
          <w:szCs w:val="25"/>
        </w:rPr>
        <w:t xml:space="preserve"> found </w:t>
      </w:r>
      <w:r w:rsidR="00B91589" w:rsidRPr="001470A5">
        <w:rPr>
          <w:rFonts w:ascii="Garamond" w:hAnsi="Garamond" w:cs="Lucida Grande"/>
          <w:sz w:val="25"/>
          <w:szCs w:val="25"/>
        </w:rPr>
        <w:t xml:space="preserve">that the </w:t>
      </w:r>
      <w:r w:rsidR="006219D1" w:rsidRPr="001470A5">
        <w:rPr>
          <w:rFonts w:ascii="Garamond" w:hAnsi="Garamond" w:cs="Lucida Grande"/>
          <w:sz w:val="25"/>
          <w:szCs w:val="25"/>
        </w:rPr>
        <w:t>plain meaning</w:t>
      </w:r>
      <w:r w:rsidR="00105180" w:rsidRPr="001470A5">
        <w:rPr>
          <w:rFonts w:ascii="Garamond" w:hAnsi="Garamond" w:cs="Lucida Grande"/>
          <w:sz w:val="25"/>
          <w:szCs w:val="25"/>
        </w:rPr>
        <w:t xml:space="preserve"> alone</w:t>
      </w:r>
      <w:r w:rsidR="006219D1" w:rsidRPr="001470A5">
        <w:rPr>
          <w:rFonts w:ascii="Garamond" w:hAnsi="Garamond" w:cs="Lucida Grande"/>
          <w:sz w:val="25"/>
          <w:szCs w:val="25"/>
        </w:rPr>
        <w:t xml:space="preserve"> of the </w:t>
      </w:r>
      <w:r w:rsidR="00B91589" w:rsidRPr="001470A5">
        <w:rPr>
          <w:rFonts w:ascii="Garamond" w:hAnsi="Garamond" w:cs="Lucida Grande"/>
          <w:sz w:val="25"/>
          <w:szCs w:val="25"/>
        </w:rPr>
        <w:t>Copyright Act</w:t>
      </w:r>
      <w:r w:rsidR="001C4B0B" w:rsidRPr="001470A5">
        <w:rPr>
          <w:rFonts w:ascii="Garamond" w:hAnsi="Garamond" w:cs="Lucida Grande"/>
          <w:sz w:val="25"/>
          <w:szCs w:val="25"/>
        </w:rPr>
        <w:t xml:space="preserve"> </w:t>
      </w:r>
      <w:r w:rsidR="007922B8" w:rsidRPr="001470A5">
        <w:rPr>
          <w:rFonts w:ascii="Garamond" w:hAnsi="Garamond" w:cs="Lucida Grande"/>
          <w:sz w:val="25"/>
          <w:szCs w:val="25"/>
        </w:rPr>
        <w:t>compels a prior signed written instrument for works for hire</w:t>
      </w:r>
      <w:r w:rsidR="001C4B0B" w:rsidRPr="001470A5">
        <w:rPr>
          <w:rFonts w:ascii="Garamond" w:hAnsi="Garamond" w:cs="Lucida Grande"/>
          <w:sz w:val="25"/>
          <w:szCs w:val="25"/>
        </w:rPr>
        <w:t>.</w:t>
      </w:r>
      <w:r w:rsidR="0020361D" w:rsidRPr="001470A5">
        <w:rPr>
          <w:rFonts w:ascii="Garamond" w:hAnsi="Garamond" w:cs="Lucida Grande"/>
          <w:sz w:val="25"/>
          <w:szCs w:val="25"/>
        </w:rPr>
        <w:t xml:space="preserve"> The Ninth Circuit held in</w:t>
      </w:r>
      <w:r w:rsidR="001C4B0B" w:rsidRPr="001470A5">
        <w:rPr>
          <w:rFonts w:ascii="Garamond" w:hAnsi="Garamond" w:cs="Lucida Grande"/>
          <w:sz w:val="25"/>
          <w:szCs w:val="25"/>
        </w:rPr>
        <w:t xml:space="preserve"> </w:t>
      </w:r>
      <w:r w:rsidR="00B91589" w:rsidRPr="001470A5">
        <w:rPr>
          <w:rFonts w:ascii="Garamond" w:eastAsia="Times New Roman" w:hAnsi="Garamond" w:cs="Times New Roman"/>
          <w:bCs/>
          <w:sz w:val="25"/>
          <w:szCs w:val="25"/>
          <w:u w:val="single"/>
          <w:shd w:val="clear" w:color="auto" w:fill="FFFFFF"/>
        </w:rPr>
        <w:t>Gladwell Gov't Servs. v. County of Marin</w:t>
      </w:r>
      <w:r w:rsidR="00B91589" w:rsidRPr="001470A5">
        <w:rPr>
          <w:rFonts w:ascii="Garamond" w:eastAsia="Times New Roman" w:hAnsi="Garamond" w:cs="Times New Roman"/>
          <w:bCs/>
          <w:sz w:val="25"/>
          <w:szCs w:val="25"/>
          <w:shd w:val="clear" w:color="auto" w:fill="FFFFFF"/>
        </w:rPr>
        <w:t xml:space="preserve">, </w:t>
      </w:r>
      <w:r w:rsidR="009C1794" w:rsidRPr="001470A5">
        <w:rPr>
          <w:rFonts w:ascii="Garamond" w:eastAsia="Times New Roman" w:hAnsi="Garamond" w:cs="Times New Roman"/>
          <w:bCs/>
          <w:sz w:val="25"/>
          <w:szCs w:val="25"/>
          <w:shd w:val="clear" w:color="auto" w:fill="FFFFFF"/>
        </w:rPr>
        <w:t xml:space="preserve">No. 05-17327, </w:t>
      </w:r>
      <w:r w:rsidR="000D4F16" w:rsidRPr="001470A5">
        <w:rPr>
          <w:rFonts w:ascii="Garamond" w:eastAsia="Times New Roman" w:hAnsi="Garamond" w:cs="Times New Roman"/>
          <w:bCs/>
          <w:sz w:val="25"/>
          <w:szCs w:val="25"/>
          <w:shd w:val="clear" w:color="auto" w:fill="FFFFFF"/>
        </w:rPr>
        <w:t>2008 WL 268268</w:t>
      </w:r>
      <w:r w:rsidR="00B91589" w:rsidRPr="001470A5">
        <w:rPr>
          <w:rFonts w:ascii="Garamond" w:eastAsia="Times New Roman" w:hAnsi="Garamond" w:cs="Times New Roman"/>
          <w:bCs/>
          <w:sz w:val="25"/>
          <w:szCs w:val="25"/>
          <w:shd w:val="clear" w:color="auto" w:fill="FFFFFF"/>
        </w:rPr>
        <w:t xml:space="preserve">, </w:t>
      </w:r>
      <w:r w:rsidR="000D4F16" w:rsidRPr="001470A5">
        <w:rPr>
          <w:rFonts w:ascii="Garamond" w:eastAsia="Times New Roman" w:hAnsi="Garamond" w:cs="Times New Roman"/>
          <w:bCs/>
          <w:sz w:val="25"/>
          <w:szCs w:val="25"/>
          <w:shd w:val="clear" w:color="auto" w:fill="FFFFFF"/>
        </w:rPr>
        <w:t>(9th Cir. Jan. 28, 2008</w:t>
      </w:r>
      <w:r w:rsidR="00B91589" w:rsidRPr="001470A5">
        <w:rPr>
          <w:rFonts w:ascii="Garamond" w:eastAsia="Times New Roman" w:hAnsi="Garamond" w:cs="Times New Roman"/>
          <w:bCs/>
          <w:sz w:val="25"/>
          <w:szCs w:val="25"/>
          <w:shd w:val="clear" w:color="auto" w:fill="FFFFFF"/>
        </w:rPr>
        <w:t>)</w:t>
      </w:r>
      <w:r w:rsidR="007922B8" w:rsidRPr="001470A5">
        <w:rPr>
          <w:rFonts w:ascii="Garamond" w:eastAsia="Times New Roman" w:hAnsi="Garamond" w:cs="Times New Roman"/>
          <w:bCs/>
          <w:sz w:val="25"/>
          <w:szCs w:val="25"/>
          <w:shd w:val="clear" w:color="auto" w:fill="FFFFFF"/>
        </w:rPr>
        <w:t>,</w:t>
      </w:r>
      <w:r w:rsidR="00B91589" w:rsidRPr="001470A5">
        <w:rPr>
          <w:rFonts w:ascii="Garamond" w:eastAsia="Times New Roman" w:hAnsi="Garamond" w:cs="Times New Roman"/>
          <w:sz w:val="25"/>
          <w:szCs w:val="25"/>
        </w:rPr>
        <w:t xml:space="preserve"> </w:t>
      </w:r>
      <w:r w:rsidR="0020361D" w:rsidRPr="001470A5">
        <w:rPr>
          <w:rFonts w:ascii="Garamond" w:eastAsia="Times New Roman" w:hAnsi="Garamond" w:cs="Times New Roman"/>
          <w:sz w:val="25"/>
          <w:szCs w:val="25"/>
        </w:rPr>
        <w:t xml:space="preserve">that the </w:t>
      </w:r>
      <w:r w:rsidR="0020361D" w:rsidRPr="001470A5">
        <w:rPr>
          <w:rFonts w:ascii="Garamond" w:eastAsia="Times New Roman" w:hAnsi="Garamond" w:cs="Times New Roman"/>
          <w:sz w:val="25"/>
          <w:szCs w:val="25"/>
          <w:shd w:val="clear" w:color="auto" w:fill="FFFFFF"/>
        </w:rPr>
        <w:t>“</w:t>
      </w:r>
      <w:r w:rsidR="00B91589" w:rsidRPr="001470A5">
        <w:rPr>
          <w:rFonts w:ascii="Garamond" w:eastAsia="Times New Roman" w:hAnsi="Garamond" w:cs="Times New Roman"/>
          <w:sz w:val="25"/>
          <w:szCs w:val="25"/>
          <w:shd w:val="clear" w:color="auto" w:fill="FFFFFF"/>
        </w:rPr>
        <w:t>plain language of the statute indicates that a work-for-hire agreement cannot apply to works that a</w:t>
      </w:r>
      <w:r w:rsidR="006219D1" w:rsidRPr="001470A5">
        <w:rPr>
          <w:rFonts w:ascii="Garamond" w:eastAsia="Times New Roman" w:hAnsi="Garamond" w:cs="Times New Roman"/>
          <w:sz w:val="25"/>
          <w:szCs w:val="25"/>
          <w:shd w:val="clear" w:color="auto" w:fill="FFFFFF"/>
        </w:rPr>
        <w:t>re already in existence. Works ‘</w:t>
      </w:r>
      <w:r w:rsidR="00B91589" w:rsidRPr="001470A5">
        <w:rPr>
          <w:rFonts w:ascii="Garamond" w:eastAsia="Times New Roman" w:hAnsi="Garamond" w:cs="Times New Roman"/>
          <w:sz w:val="25"/>
          <w:szCs w:val="25"/>
          <w:shd w:val="clear" w:color="auto" w:fill="FFFFFF"/>
        </w:rPr>
        <w:t>sp</w:t>
      </w:r>
      <w:r w:rsidR="006219D1" w:rsidRPr="001470A5">
        <w:rPr>
          <w:rFonts w:ascii="Garamond" w:eastAsia="Times New Roman" w:hAnsi="Garamond" w:cs="Times New Roman"/>
          <w:sz w:val="25"/>
          <w:szCs w:val="25"/>
          <w:shd w:val="clear" w:color="auto" w:fill="FFFFFF"/>
        </w:rPr>
        <w:t>ecially ordered or commissioned’</w:t>
      </w:r>
      <w:r w:rsidR="00B91589" w:rsidRPr="001470A5">
        <w:rPr>
          <w:rFonts w:ascii="Garamond" w:eastAsia="Times New Roman" w:hAnsi="Garamond" w:cs="Times New Roman"/>
          <w:sz w:val="25"/>
          <w:szCs w:val="25"/>
          <w:shd w:val="clear" w:color="auto" w:fill="FFFFFF"/>
        </w:rPr>
        <w:t xml:space="preserve"> can only be made </w:t>
      </w:r>
      <w:r w:rsidR="00B91589" w:rsidRPr="001470A5">
        <w:rPr>
          <w:rFonts w:ascii="Garamond" w:eastAsia="Times New Roman" w:hAnsi="Garamond" w:cs="Times New Roman"/>
          <w:i/>
          <w:iCs/>
          <w:sz w:val="25"/>
          <w:szCs w:val="25"/>
          <w:shd w:val="clear" w:color="auto" w:fill="FFFFFF"/>
        </w:rPr>
        <w:t>after</w:t>
      </w:r>
      <w:r w:rsidR="00B91589" w:rsidRPr="001470A5">
        <w:rPr>
          <w:rFonts w:ascii="Garamond" w:eastAsia="Times New Roman" w:hAnsi="Garamond" w:cs="Times New Roman"/>
          <w:sz w:val="25"/>
          <w:szCs w:val="25"/>
          <w:shd w:val="clear" w:color="auto" w:fill="FFFFFF"/>
        </w:rPr>
        <w:t> the execution of an express agreement between the parties.”</w:t>
      </w:r>
      <w:r w:rsidR="00364516" w:rsidRPr="001470A5">
        <w:rPr>
          <w:rFonts w:ascii="Garamond" w:eastAsia="Times New Roman" w:hAnsi="Garamond" w:cs="Times New Roman"/>
          <w:sz w:val="25"/>
          <w:szCs w:val="25"/>
          <w:shd w:val="clear" w:color="auto" w:fill="FFFFFF"/>
        </w:rPr>
        <w:t xml:space="preserve"> </w:t>
      </w:r>
      <w:r w:rsidR="00364516" w:rsidRPr="001470A5">
        <w:rPr>
          <w:rFonts w:ascii="Garamond" w:eastAsia="Times New Roman" w:hAnsi="Garamond" w:cs="Times New Roman"/>
          <w:sz w:val="25"/>
          <w:szCs w:val="25"/>
          <w:u w:val="single"/>
          <w:shd w:val="clear" w:color="auto" w:fill="FFFFFF"/>
        </w:rPr>
        <w:t>Id</w:t>
      </w:r>
      <w:r w:rsidR="00364516" w:rsidRPr="001470A5">
        <w:rPr>
          <w:rFonts w:ascii="Garamond" w:eastAsia="Times New Roman" w:hAnsi="Garamond" w:cs="Times New Roman"/>
          <w:sz w:val="25"/>
          <w:szCs w:val="25"/>
          <w:shd w:val="clear" w:color="auto" w:fill="FFFFFF"/>
        </w:rPr>
        <w:t>.</w:t>
      </w:r>
      <w:r w:rsidR="007922B8" w:rsidRPr="001470A5">
        <w:rPr>
          <w:rFonts w:ascii="Garamond" w:eastAsia="Times New Roman" w:hAnsi="Garamond" w:cs="Times New Roman"/>
          <w:sz w:val="25"/>
          <w:szCs w:val="25"/>
        </w:rPr>
        <w:t xml:space="preserve"> </w:t>
      </w:r>
      <w:r w:rsidR="00364516" w:rsidRPr="001470A5">
        <w:rPr>
          <w:rFonts w:ascii="Garamond" w:eastAsia="Times New Roman" w:hAnsi="Garamond" w:cs="Times New Roman"/>
          <w:bCs/>
          <w:sz w:val="25"/>
          <w:szCs w:val="25"/>
          <w:shd w:val="clear" w:color="auto" w:fill="FFFFFF"/>
        </w:rPr>
        <w:t xml:space="preserve">at *626. </w:t>
      </w:r>
      <w:r w:rsidR="000D4F16" w:rsidRPr="001470A5">
        <w:rPr>
          <w:rFonts w:ascii="Garamond" w:eastAsia="Times New Roman" w:hAnsi="Garamond" w:cs="Times New Roman"/>
          <w:sz w:val="25"/>
          <w:szCs w:val="25"/>
        </w:rPr>
        <w:t xml:space="preserve">The Ninth Circuit’s </w:t>
      </w:r>
      <w:r w:rsidR="00364516" w:rsidRPr="001470A5">
        <w:rPr>
          <w:rFonts w:ascii="Garamond" w:eastAsia="Times New Roman" w:hAnsi="Garamond" w:cs="Times New Roman"/>
          <w:sz w:val="25"/>
          <w:szCs w:val="25"/>
        </w:rPr>
        <w:t>reading</w:t>
      </w:r>
      <w:r w:rsidR="000D4F16" w:rsidRPr="001470A5">
        <w:rPr>
          <w:rFonts w:ascii="Garamond" w:eastAsia="Times New Roman" w:hAnsi="Garamond" w:cs="Times New Roman"/>
          <w:sz w:val="25"/>
          <w:szCs w:val="25"/>
        </w:rPr>
        <w:t xml:space="preserve"> accords with </w:t>
      </w:r>
      <w:r w:rsidR="00364516" w:rsidRPr="001470A5">
        <w:rPr>
          <w:rFonts w:ascii="Garamond" w:eastAsia="Times New Roman" w:hAnsi="Garamond" w:cs="Times New Roman"/>
          <w:sz w:val="25"/>
          <w:szCs w:val="25"/>
        </w:rPr>
        <w:t>our</w:t>
      </w:r>
      <w:r w:rsidR="000D4F16" w:rsidRPr="001470A5">
        <w:rPr>
          <w:rFonts w:ascii="Garamond" w:eastAsia="Times New Roman" w:hAnsi="Garamond" w:cs="Times New Roman"/>
          <w:sz w:val="25"/>
          <w:szCs w:val="25"/>
        </w:rPr>
        <w:t xml:space="preserve"> </w:t>
      </w:r>
      <w:r w:rsidR="00637899" w:rsidRPr="001470A5">
        <w:rPr>
          <w:rFonts w:ascii="Garamond" w:eastAsia="Times New Roman" w:hAnsi="Garamond" w:cs="Times New Roman"/>
          <w:sz w:val="25"/>
          <w:szCs w:val="25"/>
        </w:rPr>
        <w:t>prior</w:t>
      </w:r>
      <w:r w:rsidR="000D4F16" w:rsidRPr="001470A5">
        <w:rPr>
          <w:rFonts w:ascii="Garamond" w:eastAsia="Times New Roman" w:hAnsi="Garamond" w:cs="Times New Roman"/>
          <w:sz w:val="25"/>
          <w:szCs w:val="25"/>
        </w:rPr>
        <w:t xml:space="preserve"> analysis of </w:t>
      </w:r>
      <w:r w:rsidR="006E4E49" w:rsidRPr="001470A5">
        <w:rPr>
          <w:rFonts w:ascii="Garamond" w:eastAsia="Times New Roman" w:hAnsi="Garamond" w:cs="Times New Roman"/>
          <w:sz w:val="25"/>
          <w:szCs w:val="25"/>
        </w:rPr>
        <w:t>common usage</w:t>
      </w:r>
      <w:r w:rsidR="00FB028F" w:rsidRPr="001470A5">
        <w:rPr>
          <w:rFonts w:ascii="Garamond" w:eastAsia="Times New Roman" w:hAnsi="Garamond" w:cs="Times New Roman"/>
          <w:sz w:val="25"/>
          <w:szCs w:val="25"/>
        </w:rPr>
        <w:t xml:space="preserve"> and grammar rules suggesting the</w:t>
      </w:r>
      <w:r w:rsidR="006E4E49" w:rsidRPr="001470A5">
        <w:rPr>
          <w:rFonts w:ascii="Garamond" w:eastAsia="Times New Roman" w:hAnsi="Garamond" w:cs="Times New Roman"/>
          <w:sz w:val="25"/>
          <w:szCs w:val="25"/>
        </w:rPr>
        <w:t xml:space="preserve"> appropri</w:t>
      </w:r>
      <w:r w:rsidR="001470A5">
        <w:rPr>
          <w:rFonts w:ascii="Garamond" w:eastAsia="Times New Roman" w:hAnsi="Garamond" w:cs="Times New Roman"/>
          <w:sz w:val="25"/>
          <w:szCs w:val="25"/>
        </w:rPr>
        <w:t>ate interpretation of 17 U.S.C.</w:t>
      </w:r>
      <w:r w:rsidR="006E4E49" w:rsidRPr="001470A5">
        <w:rPr>
          <w:rFonts w:ascii="Garamond" w:eastAsia="Times New Roman" w:hAnsi="Garamond" w:cs="Times New Roman"/>
          <w:sz w:val="25"/>
          <w:szCs w:val="25"/>
        </w:rPr>
        <w:t xml:space="preserve"> </w:t>
      </w:r>
      <w:r w:rsidR="006E4E49" w:rsidRPr="001470A5">
        <w:rPr>
          <w:rFonts w:ascii="Garamond" w:hAnsi="Garamond" w:cs="Lucida Grande"/>
          <w:sz w:val="25"/>
          <w:szCs w:val="25"/>
        </w:rPr>
        <w:t xml:space="preserve">§ </w:t>
      </w:r>
      <w:r w:rsidR="006E4E49" w:rsidRPr="001470A5">
        <w:rPr>
          <w:rFonts w:ascii="Garamond" w:eastAsia="Times New Roman" w:hAnsi="Garamond" w:cs="Times New Roman"/>
          <w:sz w:val="25"/>
          <w:szCs w:val="25"/>
        </w:rPr>
        <w:t xml:space="preserve">101(2). </w:t>
      </w:r>
    </w:p>
    <w:p w14:paraId="21772AB0" w14:textId="3E86124E" w:rsidR="005C37FA" w:rsidRPr="001E3097" w:rsidRDefault="00364516" w:rsidP="008B4661">
      <w:pPr>
        <w:spacing w:line="480" w:lineRule="auto"/>
        <w:rPr>
          <w:rFonts w:ascii="Garamond" w:eastAsia="Times New Roman" w:hAnsi="Garamond" w:cs="Times New Roman"/>
          <w:sz w:val="25"/>
          <w:szCs w:val="25"/>
        </w:rPr>
      </w:pPr>
      <w:r w:rsidRPr="001E3097">
        <w:rPr>
          <w:rFonts w:ascii="Garamond" w:eastAsia="Times New Roman" w:hAnsi="Garamond" w:cs="Times New Roman"/>
          <w:sz w:val="25"/>
          <w:szCs w:val="25"/>
        </w:rPr>
        <w:tab/>
        <w:t xml:space="preserve">For </w:t>
      </w:r>
      <w:r w:rsidR="006E4E49" w:rsidRPr="001E3097">
        <w:rPr>
          <w:rFonts w:ascii="Garamond" w:eastAsia="Times New Roman" w:hAnsi="Garamond" w:cs="Times New Roman"/>
          <w:sz w:val="25"/>
          <w:szCs w:val="25"/>
        </w:rPr>
        <w:t>the preceding reasons, this Court should</w:t>
      </w:r>
      <w:r w:rsidR="007875AA" w:rsidRPr="001E3097">
        <w:rPr>
          <w:rFonts w:ascii="Garamond" w:eastAsia="Times New Roman" w:hAnsi="Garamond" w:cs="Times New Roman"/>
          <w:sz w:val="25"/>
          <w:szCs w:val="25"/>
        </w:rPr>
        <w:t xml:space="preserve"> follow the Ninth Circuit and</w:t>
      </w:r>
      <w:r w:rsidR="006E4E49" w:rsidRPr="001E3097">
        <w:rPr>
          <w:rFonts w:ascii="Garamond" w:eastAsia="Times New Roman" w:hAnsi="Garamond" w:cs="Times New Roman"/>
          <w:sz w:val="25"/>
          <w:szCs w:val="25"/>
        </w:rPr>
        <w:t xml:space="preserve"> interpret the language of the Copyright Act to require a prior writing, and dismiss Plaintiff’s complaint.</w:t>
      </w:r>
    </w:p>
    <w:p w14:paraId="0042B111" w14:textId="7C548E83" w:rsidR="0012345C" w:rsidRPr="001E3097" w:rsidRDefault="0037009E" w:rsidP="00A071D2">
      <w:pPr>
        <w:rPr>
          <w:rFonts w:ascii="Garamond" w:hAnsi="Garamond" w:cs="Lucida Grande"/>
          <w:b/>
          <w:color w:val="000000"/>
          <w:sz w:val="25"/>
          <w:szCs w:val="25"/>
        </w:rPr>
      </w:pPr>
      <w:r w:rsidRPr="001E3097">
        <w:rPr>
          <w:rFonts w:ascii="Garamond" w:eastAsia="Times New Roman" w:hAnsi="Garamond" w:cs="Times New Roman"/>
          <w:b/>
          <w:sz w:val="25"/>
          <w:szCs w:val="25"/>
        </w:rPr>
        <w:t xml:space="preserve">B. </w:t>
      </w:r>
      <w:r w:rsidR="0012345C" w:rsidRPr="001E3097">
        <w:rPr>
          <w:rFonts w:ascii="Garamond" w:eastAsia="Times New Roman" w:hAnsi="Garamond" w:cs="Times New Roman"/>
          <w:b/>
          <w:sz w:val="25"/>
          <w:szCs w:val="25"/>
        </w:rPr>
        <w:t>Interpret</w:t>
      </w:r>
      <w:r w:rsidR="00FE12D2">
        <w:rPr>
          <w:rFonts w:ascii="Garamond" w:eastAsia="Times New Roman" w:hAnsi="Garamond" w:cs="Times New Roman"/>
          <w:b/>
          <w:sz w:val="25"/>
          <w:szCs w:val="25"/>
        </w:rPr>
        <w:t>ing</w:t>
      </w:r>
      <w:r w:rsidR="0012345C" w:rsidRPr="001E3097">
        <w:rPr>
          <w:rFonts w:ascii="Garamond" w:eastAsia="Times New Roman" w:hAnsi="Garamond" w:cs="Times New Roman"/>
          <w:b/>
          <w:sz w:val="25"/>
          <w:szCs w:val="25"/>
        </w:rPr>
        <w:t xml:space="preserve"> </w:t>
      </w:r>
      <w:r w:rsidR="0012345C" w:rsidRPr="001E3097">
        <w:rPr>
          <w:rFonts w:ascii="Garamond" w:hAnsi="Garamond" w:cs="Lucida Grande"/>
          <w:b/>
          <w:color w:val="000000"/>
          <w:sz w:val="25"/>
          <w:szCs w:val="25"/>
        </w:rPr>
        <w:t>§ 101</w:t>
      </w:r>
      <w:r w:rsidR="002D5B12" w:rsidRPr="001E3097">
        <w:rPr>
          <w:rFonts w:ascii="Garamond" w:hAnsi="Garamond" w:cs="Lucida Grande"/>
          <w:b/>
          <w:color w:val="000000"/>
          <w:sz w:val="25"/>
          <w:szCs w:val="25"/>
        </w:rPr>
        <w:t>(2)</w:t>
      </w:r>
      <w:r w:rsidR="0012345C" w:rsidRPr="001E3097">
        <w:rPr>
          <w:rFonts w:ascii="Garamond" w:hAnsi="Garamond" w:cs="Lucida Grande"/>
          <w:b/>
          <w:color w:val="000000"/>
          <w:sz w:val="25"/>
          <w:szCs w:val="25"/>
        </w:rPr>
        <w:t xml:space="preserve"> to Require a Prior Writing </w:t>
      </w:r>
      <w:r w:rsidR="00FE12D2">
        <w:rPr>
          <w:rFonts w:ascii="Garamond" w:hAnsi="Garamond" w:cs="Lucida Grande"/>
          <w:b/>
          <w:color w:val="000000"/>
          <w:sz w:val="25"/>
          <w:szCs w:val="25"/>
        </w:rPr>
        <w:t xml:space="preserve">Avoids </w:t>
      </w:r>
      <w:r w:rsidR="0012345C" w:rsidRPr="001E3097">
        <w:rPr>
          <w:rFonts w:ascii="Garamond" w:hAnsi="Garamond" w:cs="Lucida Grande"/>
          <w:b/>
          <w:color w:val="000000"/>
          <w:sz w:val="25"/>
          <w:szCs w:val="25"/>
        </w:rPr>
        <w:t>Conflict With Other Statutory Provisions.</w:t>
      </w:r>
    </w:p>
    <w:p w14:paraId="415183A4" w14:textId="77777777" w:rsidR="00A071D2" w:rsidRPr="001E3097" w:rsidRDefault="00A071D2" w:rsidP="00A071D2">
      <w:pPr>
        <w:rPr>
          <w:rFonts w:ascii="Garamond" w:hAnsi="Garamond" w:cs="Lucida Grande"/>
          <w:b/>
          <w:color w:val="000000"/>
          <w:sz w:val="25"/>
          <w:szCs w:val="25"/>
        </w:rPr>
      </w:pPr>
    </w:p>
    <w:p w14:paraId="26FD3A2C" w14:textId="58A429B7" w:rsidR="00A647A7" w:rsidRPr="001E3097" w:rsidRDefault="00A647A7" w:rsidP="008B4661">
      <w:pPr>
        <w:spacing w:line="480" w:lineRule="auto"/>
        <w:rPr>
          <w:rFonts w:ascii="Garamond" w:eastAsia="Times New Roman" w:hAnsi="Garamond" w:cs="Times New Roman"/>
          <w:sz w:val="25"/>
          <w:szCs w:val="25"/>
        </w:rPr>
      </w:pPr>
      <w:r w:rsidRPr="001E3097">
        <w:rPr>
          <w:rFonts w:ascii="Garamond" w:eastAsia="Times New Roman" w:hAnsi="Garamond" w:cs="Times New Roman"/>
          <w:sz w:val="25"/>
          <w:szCs w:val="25"/>
        </w:rPr>
        <w:tab/>
      </w:r>
      <w:r w:rsidR="00A071D2" w:rsidRPr="001E3097">
        <w:rPr>
          <w:rFonts w:ascii="Garamond" w:eastAsia="Times New Roman" w:hAnsi="Garamond" w:cs="Times New Roman"/>
          <w:sz w:val="25"/>
          <w:szCs w:val="25"/>
        </w:rPr>
        <w:t xml:space="preserve">Courts must read statutory provisions as a whole, and they must take notice of the structure of provisions within the statute. </w:t>
      </w:r>
      <w:r w:rsidR="00A071D2" w:rsidRPr="001E3097">
        <w:rPr>
          <w:rFonts w:ascii="Garamond" w:eastAsia="Times New Roman" w:hAnsi="Garamond" w:cs="Times New Roman"/>
          <w:iCs/>
          <w:sz w:val="25"/>
          <w:szCs w:val="25"/>
          <w:u w:val="single"/>
          <w:shd w:val="clear" w:color="auto" w:fill="FFFFFF"/>
        </w:rPr>
        <w:t>Gustafson</w:t>
      </w:r>
      <w:r w:rsidR="00A071D2" w:rsidRPr="001E3097">
        <w:rPr>
          <w:rFonts w:ascii="Garamond" w:eastAsia="Times New Roman" w:hAnsi="Garamond" w:cs="Times New Roman"/>
          <w:sz w:val="25"/>
          <w:szCs w:val="25"/>
          <w:u w:val="single"/>
          <w:shd w:val="clear" w:color="auto" w:fill="FFFFFF"/>
        </w:rPr>
        <w:t> v. </w:t>
      </w:r>
      <w:r w:rsidR="00A071D2" w:rsidRPr="001E3097">
        <w:rPr>
          <w:rFonts w:ascii="Garamond" w:eastAsia="Times New Roman" w:hAnsi="Garamond" w:cs="Times New Roman"/>
          <w:iCs/>
          <w:sz w:val="25"/>
          <w:szCs w:val="25"/>
          <w:u w:val="single"/>
          <w:shd w:val="clear" w:color="auto" w:fill="FFFFFF"/>
        </w:rPr>
        <w:t>Alloyd Co.</w:t>
      </w:r>
      <w:r w:rsidR="00A071D2" w:rsidRPr="001E3097">
        <w:rPr>
          <w:rFonts w:ascii="Garamond" w:eastAsia="Times New Roman" w:hAnsi="Garamond" w:cs="Times New Roman"/>
          <w:sz w:val="25"/>
          <w:szCs w:val="25"/>
          <w:shd w:val="clear" w:color="auto" w:fill="FFFFFF"/>
        </w:rPr>
        <w:t>, 513 U.S. 561, 570 (1995)</w:t>
      </w:r>
      <w:r w:rsidR="00A071D2" w:rsidRPr="001E3097">
        <w:rPr>
          <w:rFonts w:ascii="Garamond" w:eastAsia="Times New Roman" w:hAnsi="Garamond" w:cs="Times New Roman"/>
          <w:sz w:val="25"/>
          <w:szCs w:val="25"/>
        </w:rPr>
        <w:t xml:space="preserve">. </w:t>
      </w:r>
      <w:r w:rsidR="00A071D2" w:rsidRPr="001E3097">
        <w:rPr>
          <w:rFonts w:ascii="Garamond" w:eastAsia="Times New Roman" w:hAnsi="Garamond" w:cs="Times New Roman"/>
          <w:color w:val="333333"/>
          <w:sz w:val="25"/>
          <w:szCs w:val="25"/>
          <w:shd w:val="clear" w:color="auto" w:fill="FFFFFF"/>
        </w:rPr>
        <w:t xml:space="preserve">Statutes "should not be read as a series of unrelated and isolated provisions." </w:t>
      </w:r>
      <w:r w:rsidR="00A071D2" w:rsidRPr="001E3097">
        <w:rPr>
          <w:rFonts w:ascii="Garamond" w:eastAsia="Times New Roman" w:hAnsi="Garamond" w:cs="Times New Roman"/>
          <w:color w:val="333333"/>
          <w:sz w:val="25"/>
          <w:szCs w:val="25"/>
          <w:u w:val="single"/>
          <w:shd w:val="clear" w:color="auto" w:fill="FFFFFF"/>
        </w:rPr>
        <w:t>Id</w:t>
      </w:r>
      <w:r w:rsidR="00A071D2" w:rsidRPr="001E3097">
        <w:rPr>
          <w:rFonts w:ascii="Garamond" w:eastAsia="Times New Roman" w:hAnsi="Garamond" w:cs="Times New Roman"/>
          <w:color w:val="333333"/>
          <w:sz w:val="25"/>
          <w:szCs w:val="25"/>
          <w:shd w:val="clear" w:color="auto" w:fill="FFFFFF"/>
        </w:rPr>
        <w:t xml:space="preserve">. </w:t>
      </w:r>
      <w:r w:rsidR="00A071D2" w:rsidRPr="00902E74">
        <w:rPr>
          <w:rFonts w:ascii="Garamond" w:eastAsia="Times New Roman" w:hAnsi="Garamond" w:cs="Times New Roman"/>
          <w:sz w:val="25"/>
          <w:szCs w:val="25"/>
          <w:u w:val="single"/>
        </w:rPr>
        <w:t>See also</w:t>
      </w:r>
      <w:r w:rsidR="00A071D2" w:rsidRPr="001E3097">
        <w:rPr>
          <w:rFonts w:ascii="Garamond" w:eastAsia="Times New Roman" w:hAnsi="Garamond" w:cs="Times New Roman"/>
          <w:sz w:val="25"/>
          <w:szCs w:val="25"/>
        </w:rPr>
        <w:t xml:space="preserve"> </w:t>
      </w:r>
      <w:r w:rsidR="00A071D2" w:rsidRPr="001E3097">
        <w:rPr>
          <w:rFonts w:ascii="Garamond" w:eastAsia="Times New Roman" w:hAnsi="Garamond" w:cs="Times New Roman"/>
          <w:sz w:val="25"/>
          <w:szCs w:val="25"/>
          <w:u w:val="single"/>
        </w:rPr>
        <w:t>Gonzalez v. Oregon</w:t>
      </w:r>
      <w:r w:rsidR="00A071D2" w:rsidRPr="001E3097">
        <w:rPr>
          <w:rFonts w:ascii="Garamond" w:eastAsia="Times New Roman" w:hAnsi="Garamond" w:cs="Times New Roman"/>
          <w:sz w:val="25"/>
          <w:szCs w:val="25"/>
        </w:rPr>
        <w:t xml:space="preserve">, 546 U.S. 243, 267 (2006) (finding the “structure of the [Controlled Substances Act]” conveys a proper interpretation of the Act’s scope). </w:t>
      </w:r>
      <w:r w:rsidR="000E2766" w:rsidRPr="001E3097">
        <w:rPr>
          <w:rFonts w:ascii="Garamond" w:eastAsia="Times New Roman" w:hAnsi="Garamond" w:cs="Times New Roman"/>
          <w:sz w:val="25"/>
          <w:szCs w:val="25"/>
        </w:rPr>
        <w:t xml:space="preserve">A ruling </w:t>
      </w:r>
      <w:r w:rsidR="00FC09DB">
        <w:rPr>
          <w:rFonts w:ascii="Garamond" w:eastAsia="Times New Roman" w:hAnsi="Garamond" w:cs="Times New Roman"/>
          <w:sz w:val="25"/>
          <w:szCs w:val="25"/>
        </w:rPr>
        <w:t>allowing</w:t>
      </w:r>
      <w:r w:rsidR="000E2766" w:rsidRPr="001E3097">
        <w:rPr>
          <w:rFonts w:ascii="Garamond" w:eastAsia="Times New Roman" w:hAnsi="Garamond" w:cs="Times New Roman"/>
          <w:sz w:val="25"/>
          <w:szCs w:val="25"/>
        </w:rPr>
        <w:t xml:space="preserve"> </w:t>
      </w:r>
      <w:r w:rsidR="00D71904" w:rsidRPr="001E3097">
        <w:rPr>
          <w:rFonts w:ascii="Garamond" w:eastAsia="Times New Roman" w:hAnsi="Garamond" w:cs="Times New Roman"/>
          <w:sz w:val="25"/>
          <w:szCs w:val="25"/>
        </w:rPr>
        <w:t>a writing after the creation of the work would generate</w:t>
      </w:r>
      <w:r w:rsidR="000E2766" w:rsidRPr="001E3097">
        <w:rPr>
          <w:rFonts w:ascii="Garamond" w:eastAsia="Times New Roman" w:hAnsi="Garamond" w:cs="Times New Roman"/>
          <w:sz w:val="25"/>
          <w:szCs w:val="25"/>
        </w:rPr>
        <w:t xml:space="preserve"> </w:t>
      </w:r>
      <w:r w:rsidR="00C32450" w:rsidRPr="001E3097">
        <w:rPr>
          <w:rFonts w:ascii="Garamond" w:eastAsia="Times New Roman" w:hAnsi="Garamond" w:cs="Times New Roman"/>
          <w:sz w:val="25"/>
          <w:szCs w:val="25"/>
        </w:rPr>
        <w:t xml:space="preserve">internal </w:t>
      </w:r>
      <w:r w:rsidR="000E2766" w:rsidRPr="001E3097">
        <w:rPr>
          <w:rFonts w:ascii="Garamond" w:eastAsia="Times New Roman" w:hAnsi="Garamond" w:cs="Times New Roman"/>
          <w:sz w:val="25"/>
          <w:szCs w:val="25"/>
        </w:rPr>
        <w:t xml:space="preserve">tensions within the statutory construction of 17 U.S.C. </w:t>
      </w:r>
      <w:r w:rsidR="000E2766" w:rsidRPr="001E3097">
        <w:rPr>
          <w:rFonts w:ascii="Garamond" w:hAnsi="Garamond" w:cs="Lucida Grande"/>
          <w:color w:val="000000"/>
          <w:sz w:val="25"/>
          <w:szCs w:val="25"/>
        </w:rPr>
        <w:t xml:space="preserve">§ 101 </w:t>
      </w:r>
      <w:r w:rsidR="000E2766" w:rsidRPr="001E3097">
        <w:rPr>
          <w:rFonts w:ascii="Garamond" w:hAnsi="Garamond" w:cs="Lucida Grande"/>
          <w:i/>
          <w:color w:val="000000"/>
          <w:sz w:val="25"/>
          <w:szCs w:val="25"/>
        </w:rPr>
        <w:t>et seq</w:t>
      </w:r>
      <w:r w:rsidR="00D71904" w:rsidRPr="001E3097">
        <w:rPr>
          <w:rFonts w:ascii="Garamond" w:hAnsi="Garamond" w:cs="Lucida Grande"/>
          <w:i/>
          <w:color w:val="000000"/>
          <w:sz w:val="25"/>
          <w:szCs w:val="25"/>
        </w:rPr>
        <w:t xml:space="preserve">. </w:t>
      </w:r>
      <w:r w:rsidR="00D71904" w:rsidRPr="001E3097">
        <w:rPr>
          <w:rFonts w:ascii="Garamond" w:hAnsi="Garamond" w:cs="Lucida Grande"/>
          <w:color w:val="000000"/>
          <w:sz w:val="25"/>
          <w:szCs w:val="25"/>
        </w:rPr>
        <w:t xml:space="preserve">and cannot be </w:t>
      </w:r>
      <w:r w:rsidR="00FC09DB">
        <w:rPr>
          <w:rFonts w:ascii="Garamond" w:hAnsi="Garamond" w:cs="Lucida Grande"/>
          <w:color w:val="000000"/>
          <w:sz w:val="25"/>
          <w:szCs w:val="25"/>
        </w:rPr>
        <w:t>permitted</w:t>
      </w:r>
      <w:r w:rsidR="00D71904" w:rsidRPr="001E3097">
        <w:rPr>
          <w:rFonts w:ascii="Garamond" w:hAnsi="Garamond" w:cs="Lucida Grande"/>
          <w:color w:val="000000"/>
          <w:sz w:val="25"/>
          <w:szCs w:val="25"/>
        </w:rPr>
        <w:t xml:space="preserve"> by this Court</w:t>
      </w:r>
      <w:r w:rsidR="000E2766" w:rsidRPr="001E3097">
        <w:rPr>
          <w:rFonts w:ascii="Garamond" w:hAnsi="Garamond" w:cs="Lucida Grande"/>
          <w:color w:val="000000"/>
          <w:sz w:val="25"/>
          <w:szCs w:val="25"/>
        </w:rPr>
        <w:t xml:space="preserve">. </w:t>
      </w:r>
    </w:p>
    <w:p w14:paraId="44049736" w14:textId="7775975D" w:rsidR="001528E6" w:rsidRPr="001E3097" w:rsidRDefault="000E2766" w:rsidP="008B4661">
      <w:pPr>
        <w:spacing w:line="480" w:lineRule="auto"/>
        <w:rPr>
          <w:rFonts w:ascii="Garamond" w:eastAsia="Times New Roman" w:hAnsi="Garamond" w:cs="Times New Roman"/>
          <w:sz w:val="25"/>
          <w:szCs w:val="25"/>
        </w:rPr>
      </w:pPr>
      <w:r w:rsidRPr="001E3097">
        <w:rPr>
          <w:rFonts w:ascii="Garamond" w:eastAsia="Times New Roman" w:hAnsi="Garamond" w:cs="Times New Roman"/>
          <w:sz w:val="25"/>
          <w:szCs w:val="25"/>
        </w:rPr>
        <w:tab/>
      </w:r>
      <w:r w:rsidR="00C32450" w:rsidRPr="001E3097">
        <w:rPr>
          <w:rFonts w:ascii="Garamond" w:eastAsia="Times New Roman" w:hAnsi="Garamond" w:cs="Times New Roman"/>
          <w:sz w:val="25"/>
          <w:szCs w:val="25"/>
        </w:rPr>
        <w:t xml:space="preserve">First, </w:t>
      </w:r>
      <w:r w:rsidR="00835C8A" w:rsidRPr="001E3097">
        <w:rPr>
          <w:rFonts w:ascii="Garamond" w:eastAsia="Times New Roman" w:hAnsi="Garamond" w:cs="Times New Roman"/>
          <w:sz w:val="25"/>
          <w:szCs w:val="25"/>
        </w:rPr>
        <w:t xml:space="preserve">this Court should consider statutory silence in 17 U.S.C. </w:t>
      </w:r>
      <w:r w:rsidR="00835C8A" w:rsidRPr="001E3097">
        <w:rPr>
          <w:rFonts w:ascii="Garamond" w:hAnsi="Garamond" w:cs="Lucida Grande"/>
          <w:color w:val="000000"/>
          <w:sz w:val="25"/>
          <w:szCs w:val="25"/>
        </w:rPr>
        <w:t xml:space="preserve">§ 101 </w:t>
      </w:r>
      <w:r w:rsidR="00835C8A" w:rsidRPr="001E3097">
        <w:rPr>
          <w:rFonts w:ascii="Garamond" w:hAnsi="Garamond" w:cs="Lucida Grande"/>
          <w:i/>
          <w:color w:val="000000"/>
          <w:sz w:val="25"/>
          <w:szCs w:val="25"/>
        </w:rPr>
        <w:t xml:space="preserve">et seq. </w:t>
      </w:r>
      <w:r w:rsidR="00835C8A" w:rsidRPr="001E3097">
        <w:rPr>
          <w:rFonts w:ascii="Garamond" w:hAnsi="Garamond" w:cs="Lucida Grande"/>
          <w:color w:val="000000"/>
          <w:sz w:val="25"/>
          <w:szCs w:val="25"/>
        </w:rPr>
        <w:t>that contradicts</w:t>
      </w:r>
      <w:r w:rsidR="00835C8A" w:rsidRPr="001E3097">
        <w:rPr>
          <w:rFonts w:ascii="Garamond" w:eastAsia="Times New Roman" w:hAnsi="Garamond" w:cs="Times New Roman"/>
          <w:sz w:val="25"/>
          <w:szCs w:val="25"/>
        </w:rPr>
        <w:t xml:space="preserve"> Plaintiff’s reading of the statute. A Court should interpret legislative silence to indicate preclusion of additional and alternative possibilities</w:t>
      </w:r>
      <w:r w:rsidR="006074BD" w:rsidRPr="001E3097">
        <w:rPr>
          <w:rFonts w:ascii="Garamond" w:eastAsia="Times New Roman" w:hAnsi="Garamond" w:cs="Times New Roman"/>
          <w:sz w:val="25"/>
          <w:szCs w:val="25"/>
        </w:rPr>
        <w:t xml:space="preserve"> because </w:t>
      </w:r>
      <w:r w:rsidR="006074BD" w:rsidRPr="001E3097">
        <w:rPr>
          <w:rFonts w:ascii="Garamond" w:hAnsi="Garamond" w:cs="Lucida Grande"/>
          <w:color w:val="000000"/>
          <w:sz w:val="25"/>
          <w:szCs w:val="25"/>
        </w:rPr>
        <w:t xml:space="preserve">a “carefully defined grant of authority” is an “implicit withholding” of additional authority. </w:t>
      </w:r>
      <w:r w:rsidR="00835C8A" w:rsidRPr="001E3097">
        <w:rPr>
          <w:rFonts w:ascii="Garamond" w:hAnsi="Garamond" w:cs="Lucida Grande"/>
          <w:color w:val="000000"/>
          <w:sz w:val="25"/>
          <w:szCs w:val="25"/>
          <w:u w:val="single"/>
        </w:rPr>
        <w:t>Gomez v. United States</w:t>
      </w:r>
      <w:r w:rsidR="00835C8A" w:rsidRPr="001E3097">
        <w:rPr>
          <w:rFonts w:ascii="Garamond" w:hAnsi="Garamond" w:cs="Lucida Grande"/>
          <w:color w:val="000000"/>
          <w:sz w:val="25"/>
          <w:szCs w:val="25"/>
        </w:rPr>
        <w:t>, 490 U.S.</w:t>
      </w:r>
      <w:r w:rsidR="006074BD" w:rsidRPr="001E3097">
        <w:rPr>
          <w:rFonts w:ascii="Garamond" w:hAnsi="Garamond" w:cs="Lucida Grande"/>
          <w:color w:val="000000"/>
          <w:sz w:val="25"/>
          <w:szCs w:val="25"/>
        </w:rPr>
        <w:t xml:space="preserve"> 858, 871 (1989).</w:t>
      </w:r>
      <w:r w:rsidR="0084447A" w:rsidRPr="001E3097">
        <w:rPr>
          <w:rFonts w:ascii="Garamond" w:hAnsi="Garamond" w:cs="Lucida Grande"/>
          <w:color w:val="000000"/>
          <w:sz w:val="25"/>
          <w:szCs w:val="25"/>
        </w:rPr>
        <w:t xml:space="preserve"> A Court </w:t>
      </w:r>
      <w:r w:rsidR="00B75986" w:rsidRPr="001E3097">
        <w:rPr>
          <w:rFonts w:ascii="Garamond" w:hAnsi="Garamond" w:cs="Lucida Grande"/>
          <w:color w:val="000000"/>
          <w:sz w:val="25"/>
          <w:szCs w:val="25"/>
        </w:rPr>
        <w:t xml:space="preserve">also </w:t>
      </w:r>
      <w:r w:rsidR="0084447A" w:rsidRPr="001E3097">
        <w:rPr>
          <w:rFonts w:ascii="Garamond" w:hAnsi="Garamond" w:cs="Lucida Grande"/>
          <w:color w:val="000000"/>
          <w:sz w:val="25"/>
          <w:szCs w:val="25"/>
        </w:rPr>
        <w:t xml:space="preserve">should not create exceptions in addition to those specified by Congress. </w:t>
      </w:r>
      <w:r w:rsidR="0084447A" w:rsidRPr="001E3097">
        <w:rPr>
          <w:rFonts w:ascii="Garamond" w:hAnsi="Garamond" w:cs="Lucida Grande"/>
          <w:color w:val="000000"/>
          <w:sz w:val="25"/>
          <w:szCs w:val="25"/>
          <w:u w:val="single"/>
        </w:rPr>
        <w:t>United States v. Smith</w:t>
      </w:r>
      <w:r w:rsidR="00B75986" w:rsidRPr="001E3097">
        <w:rPr>
          <w:rFonts w:ascii="Garamond" w:hAnsi="Garamond" w:cs="Lucida Grande"/>
          <w:color w:val="000000"/>
          <w:sz w:val="25"/>
          <w:szCs w:val="25"/>
        </w:rPr>
        <w:t xml:space="preserve">, 499 U.S. 160, 166-67 (1991). </w:t>
      </w:r>
    </w:p>
    <w:p w14:paraId="5F4DBDE5" w14:textId="523B8F2F" w:rsidR="0084447A" w:rsidRPr="001E3097" w:rsidRDefault="00835C8A" w:rsidP="00F17B15">
      <w:pPr>
        <w:spacing w:line="480" w:lineRule="auto"/>
        <w:ind w:firstLine="720"/>
        <w:rPr>
          <w:rFonts w:ascii="Garamond" w:eastAsia="Times New Roman" w:hAnsi="Garamond" w:cs="Times New Roman"/>
          <w:sz w:val="25"/>
          <w:szCs w:val="25"/>
        </w:rPr>
      </w:pPr>
      <w:r w:rsidRPr="001E3097">
        <w:rPr>
          <w:rFonts w:ascii="Garamond" w:eastAsia="Times New Roman" w:hAnsi="Garamond" w:cs="Times New Roman"/>
          <w:sz w:val="25"/>
          <w:szCs w:val="25"/>
        </w:rPr>
        <w:t>A</w:t>
      </w:r>
      <w:r w:rsidR="00076366" w:rsidRPr="001E3097">
        <w:rPr>
          <w:rFonts w:ascii="Garamond" w:eastAsia="Times New Roman" w:hAnsi="Garamond" w:cs="Times New Roman"/>
          <w:sz w:val="25"/>
          <w:szCs w:val="25"/>
        </w:rPr>
        <w:t xml:space="preserve">n allowance of an </w:t>
      </w:r>
      <w:r w:rsidR="00076366" w:rsidRPr="001E3097">
        <w:rPr>
          <w:rFonts w:ascii="Garamond" w:eastAsia="Times New Roman" w:hAnsi="Garamond" w:cs="Times New Roman"/>
          <w:i/>
          <w:sz w:val="25"/>
          <w:szCs w:val="25"/>
        </w:rPr>
        <w:t xml:space="preserve">ex post </w:t>
      </w:r>
      <w:r w:rsidR="00076366" w:rsidRPr="001E3097">
        <w:rPr>
          <w:rFonts w:ascii="Garamond" w:eastAsia="Times New Roman" w:hAnsi="Garamond" w:cs="Times New Roman"/>
          <w:sz w:val="25"/>
          <w:szCs w:val="25"/>
        </w:rPr>
        <w:t>writing</w:t>
      </w:r>
      <w:r w:rsidR="001528E6" w:rsidRPr="001E3097">
        <w:rPr>
          <w:rFonts w:ascii="Garamond" w:eastAsia="Times New Roman" w:hAnsi="Garamond" w:cs="Times New Roman"/>
          <w:sz w:val="25"/>
          <w:szCs w:val="25"/>
        </w:rPr>
        <w:t xml:space="preserve"> creates a </w:t>
      </w:r>
      <w:r w:rsidR="00E4096B" w:rsidRPr="001E3097">
        <w:rPr>
          <w:rFonts w:ascii="Garamond" w:eastAsia="Times New Roman" w:hAnsi="Garamond" w:cs="Times New Roman"/>
          <w:sz w:val="25"/>
          <w:szCs w:val="25"/>
        </w:rPr>
        <w:t>problem</w:t>
      </w:r>
      <w:r w:rsidR="001528E6" w:rsidRPr="001E3097">
        <w:rPr>
          <w:rFonts w:ascii="Garamond" w:eastAsia="Times New Roman" w:hAnsi="Garamond" w:cs="Times New Roman"/>
          <w:sz w:val="25"/>
          <w:szCs w:val="25"/>
        </w:rPr>
        <w:t xml:space="preserve"> </w:t>
      </w:r>
      <w:r w:rsidRPr="001E3097">
        <w:rPr>
          <w:rFonts w:ascii="Garamond" w:eastAsia="Times New Roman" w:hAnsi="Garamond" w:cs="Times New Roman"/>
          <w:sz w:val="25"/>
          <w:szCs w:val="25"/>
        </w:rPr>
        <w:t>of multiple authorship</w:t>
      </w:r>
      <w:r w:rsidR="001528E6" w:rsidRPr="001E3097">
        <w:rPr>
          <w:rFonts w:ascii="Garamond" w:eastAsia="Times New Roman" w:hAnsi="Garamond" w:cs="Times New Roman"/>
          <w:sz w:val="25"/>
          <w:szCs w:val="25"/>
        </w:rPr>
        <w:t>, and a problem of multiple moments when authorship is created</w:t>
      </w:r>
      <w:r w:rsidRPr="001E3097">
        <w:rPr>
          <w:rFonts w:ascii="Garamond" w:eastAsia="Times New Roman" w:hAnsi="Garamond" w:cs="Times New Roman"/>
          <w:sz w:val="25"/>
          <w:szCs w:val="25"/>
        </w:rPr>
        <w:t>.</w:t>
      </w:r>
      <w:r w:rsidR="00E4096B" w:rsidRPr="001E3097">
        <w:rPr>
          <w:rFonts w:ascii="Garamond" w:eastAsia="Times New Roman" w:hAnsi="Garamond" w:cs="Times New Roman"/>
          <w:sz w:val="25"/>
          <w:szCs w:val="25"/>
        </w:rPr>
        <w:t xml:space="preserve"> </w:t>
      </w:r>
      <w:r w:rsidR="001528E6" w:rsidRPr="001E3097">
        <w:rPr>
          <w:rFonts w:ascii="Garamond" w:eastAsia="Times New Roman" w:hAnsi="Garamond" w:cs="Times New Roman"/>
          <w:sz w:val="25"/>
          <w:szCs w:val="25"/>
        </w:rPr>
        <w:t xml:space="preserve">17 U.S.C. </w:t>
      </w:r>
      <w:r w:rsidR="00655132" w:rsidRPr="001E3097">
        <w:rPr>
          <w:rFonts w:ascii="Garamond" w:hAnsi="Garamond" w:cs="Lucida Grande"/>
          <w:color w:val="000000"/>
          <w:sz w:val="25"/>
          <w:szCs w:val="25"/>
        </w:rPr>
        <w:t>§ 201(a</w:t>
      </w:r>
      <w:r w:rsidR="001528E6" w:rsidRPr="001E3097">
        <w:rPr>
          <w:rFonts w:ascii="Garamond" w:hAnsi="Garamond" w:cs="Lucida Grande"/>
          <w:color w:val="000000"/>
          <w:sz w:val="25"/>
          <w:szCs w:val="25"/>
        </w:rPr>
        <w:t>)</w:t>
      </w:r>
      <w:r w:rsidR="00655132" w:rsidRPr="001E3097">
        <w:rPr>
          <w:rFonts w:ascii="Garamond" w:hAnsi="Garamond" w:cs="Lucida Grande"/>
          <w:color w:val="000000"/>
          <w:sz w:val="25"/>
          <w:szCs w:val="25"/>
        </w:rPr>
        <w:t xml:space="preserve"> </w:t>
      </w:r>
      <w:r w:rsidR="0084447A" w:rsidRPr="001E3097">
        <w:rPr>
          <w:rFonts w:ascii="Garamond" w:hAnsi="Garamond" w:cs="Lucida Grande"/>
          <w:color w:val="000000"/>
          <w:sz w:val="25"/>
          <w:szCs w:val="25"/>
        </w:rPr>
        <w:t>details</w:t>
      </w:r>
      <w:r w:rsidR="00C32450" w:rsidRPr="001E3097">
        <w:rPr>
          <w:rFonts w:ascii="Garamond" w:hAnsi="Garamond" w:cs="Lucida Grande"/>
          <w:color w:val="000000"/>
          <w:sz w:val="25"/>
          <w:szCs w:val="25"/>
        </w:rPr>
        <w:t xml:space="preserve"> the scenarios by which authorship vests, and its</w:t>
      </w:r>
      <w:r w:rsidR="001528E6" w:rsidRPr="001E3097">
        <w:rPr>
          <w:rFonts w:ascii="Garamond" w:hAnsi="Garamond" w:cs="Lucida Grande"/>
          <w:color w:val="000000"/>
          <w:sz w:val="25"/>
          <w:szCs w:val="25"/>
        </w:rPr>
        <w:t xml:space="preserve"> </w:t>
      </w:r>
      <w:r w:rsidR="0040082B" w:rsidRPr="001E3097">
        <w:rPr>
          <w:rFonts w:ascii="Garamond" w:hAnsi="Garamond" w:cs="Lucida Grande"/>
          <w:color w:val="000000"/>
          <w:sz w:val="25"/>
          <w:szCs w:val="25"/>
        </w:rPr>
        <w:t>silence as to multiple authors, with one exception for</w:t>
      </w:r>
      <w:r w:rsidR="0084447A" w:rsidRPr="001E3097">
        <w:rPr>
          <w:rFonts w:ascii="Garamond" w:hAnsi="Garamond" w:cs="Lucida Grande"/>
          <w:color w:val="000000"/>
          <w:sz w:val="25"/>
          <w:szCs w:val="25"/>
        </w:rPr>
        <w:t xml:space="preserve"> cases</w:t>
      </w:r>
      <w:r w:rsidR="001528E6" w:rsidRPr="001E3097">
        <w:rPr>
          <w:rFonts w:ascii="Garamond" w:hAnsi="Garamond" w:cs="Lucida Grande"/>
          <w:color w:val="000000"/>
          <w:sz w:val="25"/>
          <w:szCs w:val="25"/>
        </w:rPr>
        <w:t xml:space="preserve"> of joint works, </w:t>
      </w:r>
      <w:r w:rsidR="00C32450" w:rsidRPr="001E3097">
        <w:rPr>
          <w:rFonts w:ascii="Garamond" w:hAnsi="Garamond" w:cs="Lucida Grande"/>
          <w:color w:val="000000"/>
          <w:sz w:val="25"/>
          <w:szCs w:val="25"/>
        </w:rPr>
        <w:t>should be interpreted by this Court to exclude that possibility.</w:t>
      </w:r>
      <w:r w:rsidR="001528E6" w:rsidRPr="001E3097">
        <w:rPr>
          <w:rFonts w:ascii="Garamond" w:hAnsi="Garamond" w:cs="Lucida Grande"/>
          <w:color w:val="000000"/>
          <w:sz w:val="25"/>
          <w:szCs w:val="25"/>
        </w:rPr>
        <w:t xml:space="preserve"> Additionally,</w:t>
      </w:r>
      <w:r w:rsidR="00C32450" w:rsidRPr="001E3097">
        <w:rPr>
          <w:rFonts w:ascii="Garamond" w:hAnsi="Garamond" w:cs="Lucida Grande"/>
          <w:color w:val="000000"/>
          <w:sz w:val="25"/>
          <w:szCs w:val="25"/>
        </w:rPr>
        <w:t xml:space="preserve"> </w:t>
      </w:r>
      <w:r w:rsidR="001528E6" w:rsidRPr="001E3097">
        <w:rPr>
          <w:rFonts w:ascii="Garamond" w:eastAsia="Times New Roman" w:hAnsi="Garamond" w:cs="Times New Roman"/>
          <w:sz w:val="25"/>
          <w:szCs w:val="25"/>
        </w:rPr>
        <w:t xml:space="preserve">17 U.S.C. </w:t>
      </w:r>
      <w:r w:rsidR="001528E6" w:rsidRPr="001E3097">
        <w:rPr>
          <w:rFonts w:ascii="Garamond" w:hAnsi="Garamond" w:cs="Lucida Grande"/>
          <w:color w:val="000000"/>
          <w:sz w:val="25"/>
          <w:szCs w:val="25"/>
        </w:rPr>
        <w:t xml:space="preserve">§ 201(a) contemplates ownership of copyright vesting “initially in the author or authors of the work”, </w:t>
      </w:r>
      <w:r w:rsidR="000121AF">
        <w:rPr>
          <w:rFonts w:ascii="Garamond" w:hAnsi="Garamond" w:cs="Lucida Grande"/>
          <w:color w:val="000000"/>
          <w:sz w:val="25"/>
          <w:szCs w:val="25"/>
        </w:rPr>
        <w:t>again with a</w:t>
      </w:r>
      <w:r w:rsidR="001528E6" w:rsidRPr="001E3097">
        <w:rPr>
          <w:rFonts w:ascii="Garamond" w:hAnsi="Garamond" w:cs="Lucida Grande"/>
          <w:color w:val="000000"/>
          <w:sz w:val="25"/>
          <w:szCs w:val="25"/>
        </w:rPr>
        <w:t xml:space="preserve"> possibility of joint owners. This indicates that authorship rights vest at some singular initial moment, and the copyright protection is extended at the instant of the creation of a work in a fixed form. </w:t>
      </w:r>
      <w:r w:rsidR="001528E6" w:rsidRPr="001E3097">
        <w:rPr>
          <w:rFonts w:ascii="Garamond" w:hAnsi="Garamond" w:cs="Lucida Grande"/>
          <w:color w:val="000000"/>
          <w:sz w:val="25"/>
          <w:szCs w:val="25"/>
          <w:u w:val="single"/>
        </w:rPr>
        <w:t>Id</w:t>
      </w:r>
      <w:r w:rsidR="001528E6" w:rsidRPr="001E3097">
        <w:rPr>
          <w:rFonts w:ascii="Garamond" w:hAnsi="Garamond" w:cs="Lucida Grande"/>
          <w:color w:val="000000"/>
          <w:sz w:val="25"/>
          <w:szCs w:val="25"/>
        </w:rPr>
        <w:t xml:space="preserve">. </w:t>
      </w:r>
      <w:r w:rsidR="001528E6" w:rsidRPr="001E3097">
        <w:rPr>
          <w:rFonts w:ascii="Garamond" w:eastAsia="Times New Roman" w:hAnsi="Garamond" w:cs="Times New Roman"/>
          <w:sz w:val="25"/>
          <w:szCs w:val="25"/>
        </w:rPr>
        <w:t xml:space="preserve">Plaintiff’s reading requires that a second “author” may be later created when an initial author retroactively signs a work for hire agreement; this contradicts </w:t>
      </w:r>
      <w:r w:rsidR="001528E6" w:rsidRPr="001E3097">
        <w:rPr>
          <w:rFonts w:ascii="Garamond" w:hAnsi="Garamond" w:cs="Lucida Grande"/>
          <w:color w:val="000000"/>
          <w:sz w:val="25"/>
          <w:szCs w:val="25"/>
        </w:rPr>
        <w:t xml:space="preserve">§ 201(a), </w:t>
      </w:r>
      <w:r w:rsidR="001528E6" w:rsidRPr="001E3097">
        <w:rPr>
          <w:rFonts w:ascii="Garamond" w:eastAsia="Times New Roman" w:hAnsi="Garamond" w:cs="Times New Roman"/>
          <w:sz w:val="25"/>
          <w:szCs w:val="25"/>
        </w:rPr>
        <w:t xml:space="preserve">which is silent as to the possibility of later authors. </w:t>
      </w:r>
      <w:r w:rsidR="001528E6" w:rsidRPr="001E3097">
        <w:rPr>
          <w:rFonts w:ascii="Garamond" w:hAnsi="Garamond" w:cs="Lucida Grande"/>
          <w:color w:val="000000"/>
          <w:sz w:val="25"/>
          <w:szCs w:val="25"/>
        </w:rPr>
        <w:t>T</w:t>
      </w:r>
      <w:r w:rsidR="00A16F80">
        <w:rPr>
          <w:rFonts w:ascii="Garamond" w:hAnsi="Garamond" w:cs="Lucida Grande"/>
          <w:color w:val="000000"/>
          <w:sz w:val="25"/>
          <w:szCs w:val="25"/>
        </w:rPr>
        <w:t>he Second Circuit “[questioned</w:t>
      </w:r>
      <w:r w:rsidR="008B4625" w:rsidRPr="001E3097">
        <w:rPr>
          <w:rFonts w:ascii="Garamond" w:hAnsi="Garamond" w:cs="Lucida Grande"/>
          <w:color w:val="000000"/>
          <w:sz w:val="25"/>
          <w:szCs w:val="25"/>
        </w:rPr>
        <w:t>] whether Congress intended that a work c</w:t>
      </w:r>
      <w:r w:rsidR="001528E6" w:rsidRPr="001E3097">
        <w:rPr>
          <w:rFonts w:ascii="Garamond" w:hAnsi="Garamond" w:cs="Lucida Grande"/>
          <w:color w:val="000000"/>
          <w:sz w:val="25"/>
          <w:szCs w:val="25"/>
        </w:rPr>
        <w:t>ould have two separate ‘authors’</w:t>
      </w:r>
      <w:r w:rsidR="008B4625" w:rsidRPr="001E3097">
        <w:rPr>
          <w:rFonts w:ascii="Garamond" w:hAnsi="Garamond" w:cs="Lucida Grande"/>
          <w:color w:val="000000"/>
          <w:sz w:val="25"/>
          <w:szCs w:val="25"/>
        </w:rPr>
        <w:t xml:space="preserve">—one during the first phase of its existence, and another after a work-for-hire agreement were executed.” </w:t>
      </w:r>
      <w:r w:rsidR="008B4625" w:rsidRPr="001E3097">
        <w:rPr>
          <w:rFonts w:ascii="Garamond" w:hAnsi="Garamond" w:cs="Lucida Grande"/>
          <w:color w:val="000000"/>
          <w:sz w:val="25"/>
          <w:szCs w:val="25"/>
          <w:u w:val="single"/>
        </w:rPr>
        <w:t>Playboy Enters. v. Dumas</w:t>
      </w:r>
      <w:r w:rsidR="008B4625" w:rsidRPr="001E3097">
        <w:rPr>
          <w:rFonts w:ascii="Garamond" w:hAnsi="Garamond" w:cs="Lucida Grande"/>
          <w:color w:val="000000"/>
          <w:sz w:val="25"/>
          <w:szCs w:val="25"/>
        </w:rPr>
        <w:t>, 53 F.3d 549, 559 (2nd Cir. 1995)</w:t>
      </w:r>
      <w:r w:rsidR="001528E6" w:rsidRPr="001E3097">
        <w:rPr>
          <w:rFonts w:ascii="Garamond" w:hAnsi="Garamond" w:cs="Lucida Grande"/>
          <w:color w:val="000000"/>
          <w:sz w:val="25"/>
          <w:szCs w:val="25"/>
        </w:rPr>
        <w:t>. The Second Circuit</w:t>
      </w:r>
      <w:r w:rsidR="008B4625" w:rsidRPr="001E3097">
        <w:rPr>
          <w:rFonts w:ascii="Garamond" w:hAnsi="Garamond" w:cs="Lucida Grande"/>
          <w:color w:val="000000"/>
          <w:sz w:val="25"/>
          <w:szCs w:val="25"/>
        </w:rPr>
        <w:t xml:space="preserve"> ultimately require</w:t>
      </w:r>
      <w:r w:rsidR="00A16F80">
        <w:rPr>
          <w:rFonts w:ascii="Garamond" w:hAnsi="Garamond" w:cs="Lucida Grande"/>
          <w:color w:val="000000"/>
          <w:sz w:val="25"/>
          <w:szCs w:val="25"/>
        </w:rPr>
        <w:t xml:space="preserve">d </w:t>
      </w:r>
      <w:r w:rsidR="001528E6" w:rsidRPr="001E3097">
        <w:rPr>
          <w:rFonts w:ascii="Garamond" w:hAnsi="Garamond" w:cs="Lucida Grande"/>
          <w:color w:val="000000"/>
          <w:sz w:val="25"/>
          <w:szCs w:val="25"/>
        </w:rPr>
        <w:t>merely a prior agreement</w:t>
      </w:r>
      <w:r w:rsidR="00792841">
        <w:rPr>
          <w:rFonts w:ascii="Garamond" w:hAnsi="Garamond" w:cs="Lucida Grande"/>
          <w:color w:val="000000"/>
          <w:sz w:val="25"/>
          <w:szCs w:val="25"/>
        </w:rPr>
        <w:t xml:space="preserve"> of a work made for hire before a later written agreement. H</w:t>
      </w:r>
      <w:r w:rsidR="001528E6" w:rsidRPr="001E3097">
        <w:rPr>
          <w:rFonts w:ascii="Garamond" w:hAnsi="Garamond" w:cs="Lucida Grande"/>
          <w:color w:val="000000"/>
          <w:sz w:val="25"/>
          <w:szCs w:val="25"/>
        </w:rPr>
        <w:t>owever,</w:t>
      </w:r>
      <w:r w:rsidR="008B4625" w:rsidRPr="001E3097">
        <w:rPr>
          <w:rFonts w:ascii="Garamond" w:hAnsi="Garamond" w:cs="Lucida Grande"/>
          <w:color w:val="000000"/>
          <w:sz w:val="25"/>
          <w:szCs w:val="25"/>
        </w:rPr>
        <w:t xml:space="preserve"> this Court </w:t>
      </w:r>
      <w:r w:rsidR="001528E6" w:rsidRPr="001E3097">
        <w:rPr>
          <w:rFonts w:ascii="Garamond" w:hAnsi="Garamond" w:cs="Lucida Grande"/>
          <w:color w:val="000000"/>
          <w:sz w:val="25"/>
          <w:szCs w:val="25"/>
        </w:rPr>
        <w:t>should extend that</w:t>
      </w:r>
      <w:r w:rsidR="008B4625" w:rsidRPr="001E3097">
        <w:rPr>
          <w:rFonts w:ascii="Garamond" w:hAnsi="Garamond" w:cs="Lucida Grande"/>
          <w:color w:val="000000"/>
          <w:sz w:val="25"/>
          <w:szCs w:val="25"/>
        </w:rPr>
        <w:t xml:space="preserve"> </w:t>
      </w:r>
      <w:r w:rsidR="00792841">
        <w:rPr>
          <w:rFonts w:ascii="Garamond" w:hAnsi="Garamond" w:cs="Lucida Grande"/>
          <w:color w:val="000000"/>
          <w:sz w:val="25"/>
          <w:szCs w:val="25"/>
        </w:rPr>
        <w:t>question</w:t>
      </w:r>
      <w:r w:rsidR="008B4625" w:rsidRPr="001E3097">
        <w:rPr>
          <w:rFonts w:ascii="Garamond" w:hAnsi="Garamond" w:cs="Lucida Grande"/>
          <w:color w:val="000000"/>
          <w:sz w:val="25"/>
          <w:szCs w:val="25"/>
        </w:rPr>
        <w:t xml:space="preserve"> to its logical conclusion and simply </w:t>
      </w:r>
      <w:r w:rsidR="001528E6" w:rsidRPr="001E3097">
        <w:rPr>
          <w:rFonts w:ascii="Garamond" w:hAnsi="Garamond" w:cs="Lucida Grande"/>
          <w:color w:val="000000"/>
          <w:sz w:val="25"/>
          <w:szCs w:val="25"/>
        </w:rPr>
        <w:t>deny</w:t>
      </w:r>
      <w:r w:rsidR="008B4625" w:rsidRPr="001E3097">
        <w:rPr>
          <w:rFonts w:ascii="Garamond" w:hAnsi="Garamond" w:cs="Lucida Grande"/>
          <w:color w:val="000000"/>
          <w:sz w:val="25"/>
          <w:szCs w:val="25"/>
        </w:rPr>
        <w:t xml:space="preserve"> the </w:t>
      </w:r>
      <w:r w:rsidR="001528E6" w:rsidRPr="001E3097">
        <w:rPr>
          <w:rFonts w:ascii="Garamond" w:hAnsi="Garamond" w:cs="Lucida Grande"/>
          <w:color w:val="000000"/>
          <w:sz w:val="25"/>
          <w:szCs w:val="25"/>
        </w:rPr>
        <w:t>mechanism</w:t>
      </w:r>
      <w:r w:rsidR="008B4625" w:rsidRPr="001E3097">
        <w:rPr>
          <w:rFonts w:ascii="Garamond" w:hAnsi="Garamond" w:cs="Lucida Grande"/>
          <w:color w:val="000000"/>
          <w:sz w:val="25"/>
          <w:szCs w:val="25"/>
        </w:rPr>
        <w:t xml:space="preserve"> of a </w:t>
      </w:r>
      <w:r w:rsidR="001528E6" w:rsidRPr="001E3097">
        <w:rPr>
          <w:rFonts w:ascii="Garamond" w:hAnsi="Garamond" w:cs="Lucida Grande"/>
          <w:i/>
          <w:color w:val="000000"/>
          <w:sz w:val="25"/>
          <w:szCs w:val="25"/>
        </w:rPr>
        <w:t>ex post</w:t>
      </w:r>
      <w:r w:rsidR="008B4625" w:rsidRPr="001E3097">
        <w:rPr>
          <w:rFonts w:ascii="Garamond" w:hAnsi="Garamond" w:cs="Lucida Grande"/>
          <w:color w:val="000000"/>
          <w:sz w:val="25"/>
          <w:szCs w:val="25"/>
        </w:rPr>
        <w:t xml:space="preserve"> work for hire agreements wholesale, </w:t>
      </w:r>
      <w:r w:rsidR="001528E6" w:rsidRPr="001E3097">
        <w:rPr>
          <w:rFonts w:ascii="Garamond" w:hAnsi="Garamond" w:cs="Lucida Grande"/>
          <w:color w:val="000000"/>
          <w:sz w:val="25"/>
          <w:szCs w:val="25"/>
        </w:rPr>
        <w:t>and thereby preclude</w:t>
      </w:r>
      <w:r w:rsidR="008B4625" w:rsidRPr="001E3097">
        <w:rPr>
          <w:rFonts w:ascii="Garamond" w:hAnsi="Garamond" w:cs="Lucida Grande"/>
          <w:color w:val="000000"/>
          <w:sz w:val="25"/>
          <w:szCs w:val="25"/>
        </w:rPr>
        <w:t xml:space="preserve"> the possibility that a refusal to </w:t>
      </w:r>
      <w:r w:rsidR="001528E6" w:rsidRPr="001E3097">
        <w:rPr>
          <w:rFonts w:ascii="Garamond" w:hAnsi="Garamond" w:cs="Lucida Grande"/>
          <w:color w:val="000000"/>
          <w:sz w:val="25"/>
          <w:szCs w:val="25"/>
        </w:rPr>
        <w:t xml:space="preserve">consecrate an </w:t>
      </w:r>
      <w:r w:rsidR="008B4625" w:rsidRPr="001E3097">
        <w:rPr>
          <w:rFonts w:ascii="Garamond" w:hAnsi="Garamond" w:cs="Lucida Grande"/>
          <w:color w:val="000000"/>
          <w:sz w:val="25"/>
          <w:szCs w:val="25"/>
        </w:rPr>
        <w:t xml:space="preserve">agreement </w:t>
      </w:r>
      <w:r w:rsidR="001528E6" w:rsidRPr="001E3097">
        <w:rPr>
          <w:rFonts w:ascii="Garamond" w:hAnsi="Garamond" w:cs="Lucida Grande"/>
          <w:color w:val="000000"/>
          <w:sz w:val="25"/>
          <w:szCs w:val="25"/>
        </w:rPr>
        <w:t xml:space="preserve">in writing </w:t>
      </w:r>
      <w:r w:rsidR="008B4625" w:rsidRPr="001E3097">
        <w:rPr>
          <w:rFonts w:ascii="Garamond" w:hAnsi="Garamond" w:cs="Lucida Grande"/>
          <w:color w:val="000000"/>
          <w:sz w:val="25"/>
          <w:szCs w:val="25"/>
        </w:rPr>
        <w:t>would create precisely the</w:t>
      </w:r>
      <w:r w:rsidR="00C97761" w:rsidRPr="001E3097">
        <w:rPr>
          <w:rFonts w:ascii="Garamond" w:hAnsi="Garamond" w:cs="Lucida Grande"/>
          <w:color w:val="000000"/>
          <w:sz w:val="25"/>
          <w:szCs w:val="25"/>
        </w:rPr>
        <w:t xml:space="preserve"> statutory</w:t>
      </w:r>
      <w:r w:rsidR="008B4625" w:rsidRPr="001E3097">
        <w:rPr>
          <w:rFonts w:ascii="Garamond" w:hAnsi="Garamond" w:cs="Lucida Grande"/>
          <w:color w:val="000000"/>
          <w:sz w:val="25"/>
          <w:szCs w:val="25"/>
        </w:rPr>
        <w:t xml:space="preserve"> con</w:t>
      </w:r>
      <w:r w:rsidR="001B5504" w:rsidRPr="001E3097">
        <w:rPr>
          <w:rFonts w:ascii="Garamond" w:hAnsi="Garamond" w:cs="Lucida Grande"/>
          <w:color w:val="000000"/>
          <w:sz w:val="25"/>
          <w:szCs w:val="25"/>
        </w:rPr>
        <w:t>flict anticipated</w:t>
      </w:r>
      <w:r w:rsidR="00792841">
        <w:rPr>
          <w:rFonts w:ascii="Garamond" w:hAnsi="Garamond" w:cs="Lucida Grande"/>
          <w:color w:val="000000"/>
          <w:sz w:val="25"/>
          <w:szCs w:val="25"/>
        </w:rPr>
        <w:t xml:space="preserve"> in</w:t>
      </w:r>
      <w:r w:rsidR="001B5504" w:rsidRPr="001E3097">
        <w:rPr>
          <w:rFonts w:ascii="Garamond" w:hAnsi="Garamond" w:cs="Lucida Grande"/>
          <w:color w:val="000000"/>
          <w:sz w:val="25"/>
          <w:szCs w:val="25"/>
        </w:rPr>
        <w:t xml:space="preserve"> and unsolved by </w:t>
      </w:r>
      <w:r w:rsidR="00C97761" w:rsidRPr="001E3097">
        <w:rPr>
          <w:rFonts w:ascii="Garamond" w:hAnsi="Garamond" w:cs="Lucida Grande"/>
          <w:color w:val="000000"/>
          <w:sz w:val="25"/>
          <w:szCs w:val="25"/>
          <w:u w:val="single"/>
        </w:rPr>
        <w:t>Dumas</w:t>
      </w:r>
      <w:r w:rsidR="00C97761" w:rsidRPr="001E3097">
        <w:rPr>
          <w:rFonts w:ascii="Garamond" w:hAnsi="Garamond" w:cs="Lucida Grande"/>
          <w:color w:val="000000"/>
          <w:sz w:val="25"/>
          <w:szCs w:val="25"/>
        </w:rPr>
        <w:t>.</w:t>
      </w:r>
      <w:r w:rsidR="001B5504" w:rsidRPr="001E3097">
        <w:rPr>
          <w:rFonts w:ascii="Garamond" w:hAnsi="Garamond" w:cs="Lucida Grande"/>
          <w:color w:val="000000"/>
          <w:sz w:val="25"/>
          <w:szCs w:val="25"/>
        </w:rPr>
        <w:t xml:space="preserve"> </w:t>
      </w:r>
    </w:p>
    <w:p w14:paraId="72439813" w14:textId="6414B300" w:rsidR="00410172" w:rsidRPr="001E3097" w:rsidRDefault="0084447A" w:rsidP="0084447A">
      <w:pPr>
        <w:spacing w:line="480" w:lineRule="auto"/>
        <w:ind w:firstLine="720"/>
        <w:rPr>
          <w:rFonts w:ascii="Garamond" w:eastAsia="Times New Roman" w:hAnsi="Garamond" w:cs="Times New Roman"/>
          <w:sz w:val="25"/>
          <w:szCs w:val="25"/>
        </w:rPr>
      </w:pPr>
      <w:r w:rsidRPr="001E3097">
        <w:rPr>
          <w:rFonts w:ascii="Garamond" w:eastAsia="Times New Roman" w:hAnsi="Garamond" w:cs="Times New Roman"/>
          <w:sz w:val="25"/>
          <w:szCs w:val="25"/>
        </w:rPr>
        <w:t xml:space="preserve">Second, </w:t>
      </w:r>
      <w:r w:rsidR="00F17B15" w:rsidRPr="001E3097">
        <w:rPr>
          <w:rFonts w:ascii="Garamond" w:eastAsia="Times New Roman" w:hAnsi="Garamond" w:cs="Times New Roman"/>
          <w:sz w:val="25"/>
          <w:szCs w:val="25"/>
        </w:rPr>
        <w:t xml:space="preserve">this Court should not read laws in a manner that creates redundant provisions. </w:t>
      </w:r>
      <w:r w:rsidR="00F17B15" w:rsidRPr="001E3097">
        <w:rPr>
          <w:rFonts w:ascii="Garamond" w:eastAsia="Times New Roman" w:hAnsi="Garamond" w:cs="Times New Roman"/>
          <w:sz w:val="25"/>
          <w:szCs w:val="25"/>
          <w:u w:val="single"/>
        </w:rPr>
        <w:t>Marbury v. Madison</w:t>
      </w:r>
      <w:r w:rsidR="00F17B15" w:rsidRPr="001E3097">
        <w:rPr>
          <w:rFonts w:ascii="Garamond" w:eastAsia="Times New Roman" w:hAnsi="Garamond" w:cs="Times New Roman"/>
          <w:sz w:val="25"/>
          <w:szCs w:val="25"/>
        </w:rPr>
        <w:t xml:space="preserve">, 5 U.S. 137, 174 (1803) (rejecting a construction of the Constitution which would create a section of “mere surplusage, [entirely] without meaning”). </w:t>
      </w:r>
      <w:r w:rsidR="00DD5855" w:rsidRPr="001E3097">
        <w:rPr>
          <w:rFonts w:ascii="Garamond" w:eastAsia="Times New Roman" w:hAnsi="Garamond" w:cs="Times New Roman"/>
          <w:sz w:val="25"/>
          <w:szCs w:val="25"/>
        </w:rPr>
        <w:t>Plaintiff contends</w:t>
      </w:r>
      <w:r w:rsidR="00C32450" w:rsidRPr="001E3097">
        <w:rPr>
          <w:rFonts w:ascii="Garamond" w:eastAsia="Times New Roman" w:hAnsi="Garamond" w:cs="Times New Roman"/>
          <w:sz w:val="25"/>
          <w:szCs w:val="25"/>
        </w:rPr>
        <w:t xml:space="preserve"> that 17 U.S.C. </w:t>
      </w:r>
      <w:r w:rsidR="00C32450" w:rsidRPr="001E3097">
        <w:rPr>
          <w:rFonts w:ascii="Garamond" w:hAnsi="Garamond" w:cs="Lucida Grande"/>
          <w:color w:val="000000"/>
          <w:sz w:val="25"/>
          <w:szCs w:val="25"/>
        </w:rPr>
        <w:t>§ 101</w:t>
      </w:r>
      <w:r w:rsidR="002D5B12" w:rsidRPr="001E3097">
        <w:rPr>
          <w:rFonts w:ascii="Garamond" w:hAnsi="Garamond" w:cs="Lucida Grande"/>
          <w:color w:val="000000"/>
          <w:sz w:val="25"/>
          <w:szCs w:val="25"/>
        </w:rPr>
        <w:t>(2)</w:t>
      </w:r>
      <w:r w:rsidR="00C32450" w:rsidRPr="001E3097">
        <w:rPr>
          <w:rFonts w:ascii="Garamond" w:hAnsi="Garamond" w:cs="Lucida Grande"/>
          <w:color w:val="000000"/>
          <w:sz w:val="25"/>
          <w:szCs w:val="25"/>
        </w:rPr>
        <w:t xml:space="preserve"> permits written agreements to be executed</w:t>
      </w:r>
      <w:r w:rsidR="00DD5855" w:rsidRPr="001E3097">
        <w:rPr>
          <w:rFonts w:ascii="Garamond" w:hAnsi="Garamond" w:cs="Lucida Grande"/>
          <w:color w:val="000000"/>
          <w:sz w:val="25"/>
          <w:szCs w:val="25"/>
        </w:rPr>
        <w:t xml:space="preserve"> after the creation of a work. This </w:t>
      </w:r>
      <w:r w:rsidR="0082033E">
        <w:rPr>
          <w:rFonts w:ascii="Garamond" w:hAnsi="Garamond" w:cs="Lucida Grande"/>
          <w:color w:val="000000"/>
          <w:sz w:val="25"/>
          <w:szCs w:val="25"/>
        </w:rPr>
        <w:t xml:space="preserve">partially </w:t>
      </w:r>
      <w:r w:rsidR="00DD5855" w:rsidRPr="001E3097">
        <w:rPr>
          <w:rFonts w:ascii="Garamond" w:hAnsi="Garamond" w:cs="Lucida Grande"/>
          <w:color w:val="000000"/>
          <w:sz w:val="25"/>
          <w:szCs w:val="25"/>
        </w:rPr>
        <w:t xml:space="preserve">renders </w:t>
      </w:r>
      <w:r w:rsidR="002A5863">
        <w:rPr>
          <w:rFonts w:ascii="Garamond" w:hAnsi="Garamond" w:cs="Lucida Grande"/>
          <w:color w:val="000000"/>
          <w:sz w:val="25"/>
          <w:szCs w:val="25"/>
        </w:rPr>
        <w:t>obsolete</w:t>
      </w:r>
      <w:r w:rsidR="00C32450" w:rsidRPr="001E3097">
        <w:rPr>
          <w:rFonts w:ascii="Garamond" w:hAnsi="Garamond" w:cs="Lucida Grande"/>
          <w:color w:val="000000"/>
          <w:sz w:val="25"/>
          <w:szCs w:val="25"/>
        </w:rPr>
        <w:t xml:space="preserve"> </w:t>
      </w:r>
      <w:r w:rsidR="00DD5855" w:rsidRPr="001E3097">
        <w:rPr>
          <w:rFonts w:ascii="Garamond" w:hAnsi="Garamond" w:cs="Lucida Grande"/>
          <w:color w:val="000000"/>
          <w:sz w:val="25"/>
          <w:szCs w:val="25"/>
        </w:rPr>
        <w:t xml:space="preserve">another provision, </w:t>
      </w:r>
      <w:r w:rsidR="00DD5855" w:rsidRPr="001E3097">
        <w:rPr>
          <w:rFonts w:ascii="Garamond" w:eastAsia="Times New Roman" w:hAnsi="Garamond" w:cs="Times New Roman"/>
          <w:sz w:val="25"/>
          <w:szCs w:val="25"/>
        </w:rPr>
        <w:t xml:space="preserve">17 U.S.C. </w:t>
      </w:r>
      <w:r w:rsidR="00DD5855" w:rsidRPr="001E3097">
        <w:rPr>
          <w:rFonts w:ascii="Garamond" w:hAnsi="Garamond" w:cs="Lucida Grande"/>
          <w:color w:val="000000"/>
          <w:sz w:val="25"/>
          <w:szCs w:val="25"/>
        </w:rPr>
        <w:t xml:space="preserve">§ </w:t>
      </w:r>
      <w:r w:rsidR="00DD5855" w:rsidRPr="001E3097">
        <w:rPr>
          <w:rFonts w:ascii="Garamond" w:eastAsia="Times New Roman" w:hAnsi="Garamond" w:cs="Times New Roman"/>
          <w:sz w:val="25"/>
          <w:szCs w:val="25"/>
        </w:rPr>
        <w:t xml:space="preserve">204, </w:t>
      </w:r>
      <w:r w:rsidR="00C32450" w:rsidRPr="001E3097">
        <w:rPr>
          <w:rFonts w:ascii="Garamond" w:hAnsi="Garamond" w:cs="Lucida Grande"/>
          <w:color w:val="000000"/>
          <w:sz w:val="25"/>
          <w:szCs w:val="25"/>
        </w:rPr>
        <w:t>allowing transfer of copyright from the initial author</w:t>
      </w:r>
      <w:r w:rsidR="00DD5855" w:rsidRPr="001E3097">
        <w:rPr>
          <w:rFonts w:ascii="Garamond" w:hAnsi="Garamond" w:cs="Lucida Grande"/>
          <w:color w:val="000000"/>
          <w:sz w:val="25"/>
          <w:szCs w:val="25"/>
        </w:rPr>
        <w:t xml:space="preserve"> after the creation of a work</w:t>
      </w:r>
      <w:r w:rsidR="00C32450" w:rsidRPr="001E3097">
        <w:rPr>
          <w:rFonts w:ascii="Garamond" w:hAnsi="Garamond" w:cs="Lucida Grande"/>
          <w:color w:val="000000"/>
          <w:sz w:val="25"/>
          <w:szCs w:val="25"/>
        </w:rPr>
        <w:t xml:space="preserve">. </w:t>
      </w:r>
      <w:r w:rsidR="00410172" w:rsidRPr="001E3097">
        <w:rPr>
          <w:rFonts w:ascii="Garamond" w:eastAsia="Times New Roman" w:hAnsi="Garamond" w:cs="Times New Roman"/>
          <w:sz w:val="25"/>
          <w:szCs w:val="25"/>
        </w:rPr>
        <w:t xml:space="preserve">In </w:t>
      </w:r>
      <w:r w:rsidR="00410172" w:rsidRPr="001E3097">
        <w:rPr>
          <w:rFonts w:ascii="Garamond" w:hAnsi="Garamond" w:cs="Lucida Grande"/>
          <w:color w:val="000000"/>
          <w:sz w:val="25"/>
          <w:szCs w:val="25"/>
        </w:rPr>
        <w:t xml:space="preserve">§ </w:t>
      </w:r>
      <w:r w:rsidR="009C5F45" w:rsidRPr="001E3097">
        <w:rPr>
          <w:rFonts w:ascii="Garamond" w:eastAsia="Times New Roman" w:hAnsi="Garamond" w:cs="Times New Roman"/>
          <w:sz w:val="25"/>
          <w:szCs w:val="25"/>
        </w:rPr>
        <w:t>204</w:t>
      </w:r>
      <w:r w:rsidR="00405A21">
        <w:rPr>
          <w:rFonts w:ascii="Garamond" w:eastAsia="Times New Roman" w:hAnsi="Garamond" w:cs="Times New Roman"/>
          <w:sz w:val="25"/>
          <w:szCs w:val="25"/>
        </w:rPr>
        <w:t>, Congress created</w:t>
      </w:r>
      <w:r w:rsidR="00410172" w:rsidRPr="001E3097">
        <w:rPr>
          <w:rFonts w:ascii="Garamond" w:eastAsia="Times New Roman" w:hAnsi="Garamond" w:cs="Times New Roman"/>
          <w:sz w:val="25"/>
          <w:szCs w:val="25"/>
        </w:rPr>
        <w:t xml:space="preserve"> a mechanism, of which </w:t>
      </w:r>
      <w:r w:rsidR="000A44D3" w:rsidRPr="001E3097">
        <w:rPr>
          <w:rFonts w:ascii="Garamond" w:eastAsia="Times New Roman" w:hAnsi="Garamond" w:cs="Times New Roman"/>
          <w:sz w:val="25"/>
          <w:szCs w:val="25"/>
        </w:rPr>
        <w:t>Plaintiff</w:t>
      </w:r>
      <w:r w:rsidR="00410172" w:rsidRPr="001E3097">
        <w:rPr>
          <w:rFonts w:ascii="Garamond" w:eastAsia="Times New Roman" w:hAnsi="Garamond" w:cs="Times New Roman"/>
          <w:sz w:val="25"/>
          <w:szCs w:val="25"/>
        </w:rPr>
        <w:t xml:space="preserve"> had the opportunity to avail </w:t>
      </w:r>
      <w:r w:rsidR="00075A73" w:rsidRPr="001E3097">
        <w:rPr>
          <w:rFonts w:ascii="Garamond" w:eastAsia="Times New Roman" w:hAnsi="Garamond" w:cs="Times New Roman"/>
          <w:sz w:val="25"/>
          <w:szCs w:val="25"/>
        </w:rPr>
        <w:t>itself</w:t>
      </w:r>
      <w:r w:rsidR="00655132" w:rsidRPr="001E3097">
        <w:rPr>
          <w:rStyle w:val="FootnoteReference"/>
          <w:rFonts w:ascii="Garamond" w:eastAsia="Times New Roman" w:hAnsi="Garamond" w:cs="Times New Roman"/>
          <w:sz w:val="25"/>
          <w:szCs w:val="25"/>
        </w:rPr>
        <w:footnoteReference w:id="1"/>
      </w:r>
      <w:r w:rsidR="00410172" w:rsidRPr="001E3097">
        <w:rPr>
          <w:rFonts w:ascii="Garamond" w:eastAsia="Times New Roman" w:hAnsi="Garamond" w:cs="Times New Roman"/>
          <w:sz w:val="25"/>
          <w:szCs w:val="25"/>
        </w:rPr>
        <w:t xml:space="preserve">, by which copyright ownership may be transferred </w:t>
      </w:r>
      <w:r w:rsidR="004C5D00" w:rsidRPr="001E3097">
        <w:rPr>
          <w:rFonts w:ascii="Garamond" w:eastAsia="Times New Roman" w:hAnsi="Garamond" w:cs="Times New Roman"/>
          <w:sz w:val="25"/>
          <w:szCs w:val="25"/>
        </w:rPr>
        <w:t xml:space="preserve">by the initial author </w:t>
      </w:r>
      <w:r w:rsidR="00075A73" w:rsidRPr="001E3097">
        <w:rPr>
          <w:rFonts w:ascii="Garamond" w:eastAsia="Times New Roman" w:hAnsi="Garamond" w:cs="Times New Roman"/>
          <w:sz w:val="25"/>
          <w:szCs w:val="25"/>
        </w:rPr>
        <w:t>“</w:t>
      </w:r>
      <w:r w:rsidR="00410172" w:rsidRPr="001E3097">
        <w:rPr>
          <w:rFonts w:ascii="Garamond" w:eastAsia="Times New Roman" w:hAnsi="Garamond" w:cs="Times New Roman"/>
          <w:sz w:val="25"/>
          <w:szCs w:val="25"/>
        </w:rPr>
        <w:t>in whole or in part</w:t>
      </w:r>
      <w:r w:rsidR="00075A73" w:rsidRPr="001E3097">
        <w:rPr>
          <w:rFonts w:ascii="Garamond" w:eastAsia="Times New Roman" w:hAnsi="Garamond" w:cs="Times New Roman"/>
          <w:sz w:val="25"/>
          <w:szCs w:val="25"/>
        </w:rPr>
        <w:t>”</w:t>
      </w:r>
      <w:r w:rsidR="00410172" w:rsidRPr="001E3097">
        <w:rPr>
          <w:rFonts w:ascii="Garamond" w:eastAsia="Times New Roman" w:hAnsi="Garamond" w:cs="Times New Roman"/>
          <w:sz w:val="25"/>
          <w:szCs w:val="25"/>
        </w:rPr>
        <w:t xml:space="preserve"> when a work for hire ar</w:t>
      </w:r>
      <w:r w:rsidR="004C5D00" w:rsidRPr="001E3097">
        <w:rPr>
          <w:rFonts w:ascii="Garamond" w:eastAsia="Times New Roman" w:hAnsi="Garamond" w:cs="Times New Roman"/>
          <w:sz w:val="25"/>
          <w:szCs w:val="25"/>
        </w:rPr>
        <w:t>rangement had not been legally substantiated through a written instrument</w:t>
      </w:r>
      <w:r w:rsidR="00410172" w:rsidRPr="001E3097">
        <w:rPr>
          <w:rFonts w:ascii="Garamond" w:eastAsia="Times New Roman" w:hAnsi="Garamond" w:cs="Times New Roman"/>
          <w:sz w:val="25"/>
          <w:szCs w:val="25"/>
        </w:rPr>
        <w:t xml:space="preserve"> before the creation of the work. </w:t>
      </w:r>
      <w:r w:rsidR="00863DF6" w:rsidRPr="001E3097">
        <w:rPr>
          <w:rFonts w:ascii="Garamond" w:eastAsia="Times New Roman" w:hAnsi="Garamond" w:cs="Times New Roman"/>
          <w:sz w:val="25"/>
          <w:szCs w:val="25"/>
          <w:u w:val="single"/>
        </w:rPr>
        <w:t>Id</w:t>
      </w:r>
      <w:r w:rsidR="00863DF6" w:rsidRPr="001E3097">
        <w:rPr>
          <w:rFonts w:ascii="Garamond" w:eastAsia="Times New Roman" w:hAnsi="Garamond" w:cs="Times New Roman"/>
          <w:sz w:val="25"/>
          <w:szCs w:val="25"/>
        </w:rPr>
        <w:t xml:space="preserve">. </w:t>
      </w:r>
      <w:r w:rsidR="00B70D9D" w:rsidRPr="001E3097">
        <w:rPr>
          <w:rFonts w:ascii="Garamond" w:eastAsia="Times New Roman" w:hAnsi="Garamond" w:cs="Times New Roman"/>
          <w:sz w:val="25"/>
          <w:szCs w:val="25"/>
        </w:rPr>
        <w:t>Were this Court to allow retroa</w:t>
      </w:r>
      <w:r w:rsidR="00EB17F2" w:rsidRPr="001E3097">
        <w:rPr>
          <w:rFonts w:ascii="Garamond" w:eastAsia="Times New Roman" w:hAnsi="Garamond" w:cs="Times New Roman"/>
          <w:sz w:val="25"/>
          <w:szCs w:val="25"/>
        </w:rPr>
        <w:t xml:space="preserve">ctive work for hire agreements, </w:t>
      </w:r>
      <w:r w:rsidR="00863DF6" w:rsidRPr="001E3097">
        <w:rPr>
          <w:rFonts w:ascii="Garamond" w:eastAsia="Times New Roman" w:hAnsi="Garamond" w:cs="Times New Roman"/>
          <w:sz w:val="25"/>
          <w:szCs w:val="25"/>
        </w:rPr>
        <w:t xml:space="preserve">the language in 17 U.S.C. </w:t>
      </w:r>
      <w:r w:rsidR="00EB17F2" w:rsidRPr="001E3097">
        <w:rPr>
          <w:rFonts w:ascii="Garamond" w:hAnsi="Garamond" w:cs="Lucida Grande"/>
          <w:color w:val="000000"/>
          <w:sz w:val="25"/>
          <w:szCs w:val="25"/>
        </w:rPr>
        <w:t xml:space="preserve">§ </w:t>
      </w:r>
      <w:r w:rsidR="009C5F45" w:rsidRPr="001E3097">
        <w:rPr>
          <w:rFonts w:ascii="Garamond" w:eastAsia="Times New Roman" w:hAnsi="Garamond" w:cs="Times New Roman"/>
          <w:sz w:val="25"/>
          <w:szCs w:val="25"/>
        </w:rPr>
        <w:t>204</w:t>
      </w:r>
      <w:r w:rsidR="00863DF6" w:rsidRPr="001E3097">
        <w:rPr>
          <w:rFonts w:ascii="Garamond" w:eastAsia="Times New Roman" w:hAnsi="Garamond" w:cs="Times New Roman"/>
          <w:sz w:val="25"/>
          <w:szCs w:val="25"/>
        </w:rPr>
        <w:t xml:space="preserve"> allowing transfer of ownership “in whole”</w:t>
      </w:r>
      <w:r w:rsidR="00DD5855" w:rsidRPr="001E3097">
        <w:rPr>
          <w:rFonts w:ascii="Garamond" w:eastAsia="Times New Roman" w:hAnsi="Garamond" w:cs="Times New Roman"/>
          <w:sz w:val="25"/>
          <w:szCs w:val="25"/>
        </w:rPr>
        <w:t xml:space="preserve"> would become</w:t>
      </w:r>
      <w:r w:rsidR="00EB17F2" w:rsidRPr="001E3097">
        <w:rPr>
          <w:rFonts w:ascii="Garamond" w:eastAsia="Times New Roman" w:hAnsi="Garamond" w:cs="Times New Roman"/>
          <w:sz w:val="25"/>
          <w:szCs w:val="25"/>
        </w:rPr>
        <w:t xml:space="preserve"> merely a </w:t>
      </w:r>
      <w:r w:rsidR="00075A73" w:rsidRPr="001E3097">
        <w:rPr>
          <w:rFonts w:ascii="Garamond" w:eastAsia="Times New Roman" w:hAnsi="Garamond" w:cs="Times New Roman"/>
          <w:sz w:val="25"/>
          <w:szCs w:val="25"/>
        </w:rPr>
        <w:t>surplus</w:t>
      </w:r>
      <w:r w:rsidR="00EB17F2" w:rsidRPr="001E3097">
        <w:rPr>
          <w:rFonts w:ascii="Garamond" w:eastAsia="Times New Roman" w:hAnsi="Garamond" w:cs="Times New Roman"/>
          <w:sz w:val="25"/>
          <w:szCs w:val="25"/>
        </w:rPr>
        <w:t xml:space="preserve"> </w:t>
      </w:r>
      <w:r w:rsidR="00075A73" w:rsidRPr="001E3097">
        <w:rPr>
          <w:rFonts w:ascii="Garamond" w:eastAsia="Times New Roman" w:hAnsi="Garamond" w:cs="Times New Roman"/>
          <w:sz w:val="25"/>
          <w:szCs w:val="25"/>
        </w:rPr>
        <w:t>approach</w:t>
      </w:r>
      <w:r w:rsidR="00EB17F2" w:rsidRPr="001E3097">
        <w:rPr>
          <w:rFonts w:ascii="Garamond" w:eastAsia="Times New Roman" w:hAnsi="Garamond" w:cs="Times New Roman"/>
          <w:sz w:val="25"/>
          <w:szCs w:val="25"/>
        </w:rPr>
        <w:t xml:space="preserve"> for transferring full ownership rights</w:t>
      </w:r>
      <w:r w:rsidR="00DD5855" w:rsidRPr="001E3097">
        <w:rPr>
          <w:rFonts w:ascii="Garamond" w:eastAsia="Times New Roman" w:hAnsi="Garamond" w:cs="Times New Roman"/>
          <w:sz w:val="25"/>
          <w:szCs w:val="25"/>
        </w:rPr>
        <w:t>,</w:t>
      </w:r>
      <w:r w:rsidR="00075A73" w:rsidRPr="001E3097">
        <w:rPr>
          <w:rFonts w:ascii="Garamond" w:eastAsia="Times New Roman" w:hAnsi="Garamond" w:cs="Times New Roman"/>
          <w:sz w:val="25"/>
          <w:szCs w:val="25"/>
        </w:rPr>
        <w:t xml:space="preserve"> entirely</w:t>
      </w:r>
      <w:r w:rsidR="00DD5855" w:rsidRPr="001E3097">
        <w:rPr>
          <w:rFonts w:ascii="Garamond" w:eastAsia="Times New Roman" w:hAnsi="Garamond" w:cs="Times New Roman"/>
          <w:sz w:val="25"/>
          <w:szCs w:val="25"/>
        </w:rPr>
        <w:t xml:space="preserve"> </w:t>
      </w:r>
      <w:r w:rsidR="00863DF6" w:rsidRPr="001E3097">
        <w:rPr>
          <w:rFonts w:ascii="Garamond" w:eastAsia="Times New Roman" w:hAnsi="Garamond" w:cs="Times New Roman"/>
          <w:sz w:val="25"/>
          <w:szCs w:val="25"/>
        </w:rPr>
        <w:t xml:space="preserve">inferior to </w:t>
      </w:r>
      <w:r w:rsidR="00075A73" w:rsidRPr="001E3097">
        <w:rPr>
          <w:rFonts w:ascii="Garamond" w:eastAsia="Times New Roman" w:hAnsi="Garamond" w:cs="Times New Roman"/>
          <w:sz w:val="25"/>
          <w:szCs w:val="25"/>
        </w:rPr>
        <w:t xml:space="preserve">the mechanism in </w:t>
      </w:r>
      <w:r w:rsidR="00863DF6" w:rsidRPr="001E3097">
        <w:rPr>
          <w:rFonts w:ascii="Garamond" w:hAnsi="Garamond" w:cs="Lucida Grande"/>
          <w:color w:val="000000"/>
          <w:sz w:val="25"/>
          <w:szCs w:val="25"/>
        </w:rPr>
        <w:t xml:space="preserve">§ 101(2), </w:t>
      </w:r>
      <w:r w:rsidR="00863DF6" w:rsidRPr="001E3097">
        <w:rPr>
          <w:rFonts w:ascii="Garamond" w:eastAsia="Times New Roman" w:hAnsi="Garamond" w:cs="Times New Roman"/>
          <w:sz w:val="25"/>
          <w:szCs w:val="25"/>
        </w:rPr>
        <w:t>with only the language allowing transfer of ownership “in part”</w:t>
      </w:r>
      <w:r w:rsidR="00075A73" w:rsidRPr="001E3097">
        <w:rPr>
          <w:rFonts w:ascii="Garamond" w:eastAsia="Times New Roman" w:hAnsi="Garamond" w:cs="Times New Roman"/>
          <w:sz w:val="25"/>
          <w:szCs w:val="25"/>
        </w:rPr>
        <w:t xml:space="preserve"> </w:t>
      </w:r>
      <w:r w:rsidR="00F514CE" w:rsidRPr="001E3097">
        <w:rPr>
          <w:rFonts w:ascii="Garamond" w:eastAsia="Times New Roman" w:hAnsi="Garamond" w:cs="Times New Roman"/>
          <w:sz w:val="25"/>
          <w:szCs w:val="25"/>
        </w:rPr>
        <w:t>maintaining</w:t>
      </w:r>
      <w:r w:rsidR="00863DF6" w:rsidRPr="001E3097">
        <w:rPr>
          <w:rFonts w:ascii="Garamond" w:eastAsia="Times New Roman" w:hAnsi="Garamond" w:cs="Times New Roman"/>
          <w:sz w:val="25"/>
          <w:szCs w:val="25"/>
        </w:rPr>
        <w:t xml:space="preserve"> a unique purpose</w:t>
      </w:r>
      <w:r w:rsidR="00EB17F2" w:rsidRPr="001E3097">
        <w:rPr>
          <w:rFonts w:ascii="Garamond" w:eastAsia="Times New Roman" w:hAnsi="Garamond" w:cs="Times New Roman"/>
          <w:sz w:val="25"/>
          <w:szCs w:val="25"/>
        </w:rPr>
        <w:t xml:space="preserve">. </w:t>
      </w:r>
      <w:r w:rsidR="00DD5855" w:rsidRPr="001E3097">
        <w:rPr>
          <w:rFonts w:ascii="Garamond" w:eastAsia="Times New Roman" w:hAnsi="Garamond" w:cs="Times New Roman"/>
          <w:sz w:val="25"/>
          <w:szCs w:val="25"/>
        </w:rPr>
        <w:t>T</w:t>
      </w:r>
      <w:r w:rsidR="009C5F45" w:rsidRPr="001E3097">
        <w:rPr>
          <w:rFonts w:ascii="Garamond" w:eastAsia="Times New Roman" w:hAnsi="Garamond" w:cs="Times New Roman"/>
          <w:sz w:val="25"/>
          <w:szCs w:val="25"/>
        </w:rPr>
        <w:t xml:space="preserve">he </w:t>
      </w:r>
      <w:r w:rsidR="009C5F45" w:rsidRPr="001E3097">
        <w:rPr>
          <w:rFonts w:ascii="Garamond" w:eastAsia="Times New Roman" w:hAnsi="Garamond" w:cs="Times New Roman"/>
          <w:sz w:val="25"/>
          <w:szCs w:val="25"/>
          <w:u w:val="single"/>
        </w:rPr>
        <w:t>Dumas</w:t>
      </w:r>
      <w:r w:rsidR="009C5F45" w:rsidRPr="001E3097">
        <w:rPr>
          <w:rFonts w:ascii="Garamond" w:eastAsia="Times New Roman" w:hAnsi="Garamond" w:cs="Times New Roman"/>
          <w:sz w:val="25"/>
          <w:szCs w:val="25"/>
        </w:rPr>
        <w:t xml:space="preserve"> court </w:t>
      </w:r>
      <w:r w:rsidR="00F514CE" w:rsidRPr="001E3097">
        <w:rPr>
          <w:rFonts w:ascii="Garamond" w:eastAsia="Times New Roman" w:hAnsi="Garamond" w:cs="Times New Roman"/>
          <w:sz w:val="25"/>
          <w:szCs w:val="25"/>
        </w:rPr>
        <w:t>advanced an argument</w:t>
      </w:r>
      <w:r w:rsidR="009C5F45" w:rsidRPr="001E3097">
        <w:rPr>
          <w:rFonts w:ascii="Garamond" w:eastAsia="Times New Roman" w:hAnsi="Garamond" w:cs="Times New Roman"/>
          <w:sz w:val="25"/>
          <w:szCs w:val="25"/>
        </w:rPr>
        <w:t xml:space="preserve"> that </w:t>
      </w:r>
      <w:r w:rsidR="009C5F45" w:rsidRPr="001E3097">
        <w:rPr>
          <w:rFonts w:ascii="Garamond" w:hAnsi="Garamond" w:cs="Lucida Grande"/>
          <w:color w:val="000000"/>
          <w:sz w:val="25"/>
          <w:szCs w:val="25"/>
        </w:rPr>
        <w:t xml:space="preserve">§ </w:t>
      </w:r>
      <w:r w:rsidR="009C5F45" w:rsidRPr="001E3097">
        <w:rPr>
          <w:rFonts w:ascii="Garamond" w:eastAsia="Times New Roman" w:hAnsi="Garamond" w:cs="Times New Roman"/>
          <w:sz w:val="25"/>
          <w:szCs w:val="25"/>
        </w:rPr>
        <w:t>101</w:t>
      </w:r>
      <w:r w:rsidR="002D5B12" w:rsidRPr="001E3097">
        <w:rPr>
          <w:rFonts w:ascii="Garamond" w:eastAsia="Times New Roman" w:hAnsi="Garamond" w:cs="Times New Roman"/>
          <w:sz w:val="25"/>
          <w:szCs w:val="25"/>
        </w:rPr>
        <w:t>(2)</w:t>
      </w:r>
      <w:r w:rsidR="009C5F45" w:rsidRPr="001E3097">
        <w:rPr>
          <w:rFonts w:ascii="Garamond" w:eastAsia="Times New Roman" w:hAnsi="Garamond" w:cs="Times New Roman"/>
          <w:sz w:val="25"/>
          <w:szCs w:val="25"/>
        </w:rPr>
        <w:t xml:space="preserve"> and </w:t>
      </w:r>
      <w:r w:rsidR="009C5F45" w:rsidRPr="001E3097">
        <w:rPr>
          <w:rFonts w:ascii="Garamond" w:hAnsi="Garamond" w:cs="Lucida Grande"/>
          <w:color w:val="000000"/>
          <w:sz w:val="25"/>
          <w:szCs w:val="25"/>
        </w:rPr>
        <w:t xml:space="preserve">§ </w:t>
      </w:r>
      <w:r w:rsidR="009C5F45" w:rsidRPr="001E3097">
        <w:rPr>
          <w:rFonts w:ascii="Garamond" w:eastAsia="Times New Roman" w:hAnsi="Garamond" w:cs="Times New Roman"/>
          <w:sz w:val="25"/>
          <w:szCs w:val="25"/>
        </w:rPr>
        <w:t xml:space="preserve">204 offer distinct types of transfer, </w:t>
      </w:r>
      <w:r w:rsidR="00DD5855" w:rsidRPr="001E3097">
        <w:rPr>
          <w:rFonts w:ascii="Garamond" w:eastAsia="Times New Roman" w:hAnsi="Garamond" w:cs="Times New Roman"/>
          <w:sz w:val="25"/>
          <w:szCs w:val="25"/>
        </w:rPr>
        <w:t xml:space="preserve">but </w:t>
      </w:r>
      <w:r w:rsidR="009C5F45" w:rsidRPr="001E3097">
        <w:rPr>
          <w:rFonts w:ascii="Garamond" w:eastAsia="Times New Roman" w:hAnsi="Garamond" w:cs="Times New Roman"/>
          <w:sz w:val="25"/>
          <w:szCs w:val="25"/>
        </w:rPr>
        <w:t xml:space="preserve">both Playboy and the Second Circuit fail to articulate </w:t>
      </w:r>
      <w:r w:rsidR="003B1A8E" w:rsidRPr="001E3097">
        <w:rPr>
          <w:rFonts w:ascii="Garamond" w:eastAsia="Times New Roman" w:hAnsi="Garamond" w:cs="Times New Roman"/>
          <w:sz w:val="25"/>
          <w:szCs w:val="25"/>
        </w:rPr>
        <w:t xml:space="preserve">any </w:t>
      </w:r>
      <w:r w:rsidR="00F514CE" w:rsidRPr="001E3097">
        <w:rPr>
          <w:rFonts w:ascii="Garamond" w:eastAsia="Times New Roman" w:hAnsi="Garamond" w:cs="Times New Roman"/>
          <w:sz w:val="25"/>
          <w:szCs w:val="25"/>
        </w:rPr>
        <w:t xml:space="preserve">functional reasons why, given the superior option of a retroactive work made for hire agreement transferring authorship rights, </w:t>
      </w:r>
      <w:r w:rsidR="00F514CE" w:rsidRPr="001E3097">
        <w:rPr>
          <w:rFonts w:ascii="Garamond" w:hAnsi="Garamond" w:cs="Lucida Grande"/>
          <w:color w:val="000000"/>
          <w:sz w:val="25"/>
          <w:szCs w:val="25"/>
        </w:rPr>
        <w:t xml:space="preserve">§ </w:t>
      </w:r>
      <w:r w:rsidR="00F514CE" w:rsidRPr="001E3097">
        <w:rPr>
          <w:rFonts w:ascii="Garamond" w:eastAsia="Times New Roman" w:hAnsi="Garamond" w:cs="Times New Roman"/>
          <w:sz w:val="25"/>
          <w:szCs w:val="25"/>
        </w:rPr>
        <w:t>204 would still be used</w:t>
      </w:r>
      <w:r w:rsidR="003E567C">
        <w:rPr>
          <w:rFonts w:ascii="Garamond" w:eastAsia="Times New Roman" w:hAnsi="Garamond" w:cs="Times New Roman"/>
          <w:sz w:val="25"/>
          <w:szCs w:val="25"/>
        </w:rPr>
        <w:t xml:space="preserve"> to obtain mere ownership</w:t>
      </w:r>
      <w:r w:rsidR="00D564BF" w:rsidRPr="001E3097">
        <w:rPr>
          <w:rFonts w:ascii="Garamond" w:eastAsia="Times New Roman" w:hAnsi="Garamond" w:cs="Times New Roman"/>
          <w:sz w:val="25"/>
          <w:szCs w:val="25"/>
        </w:rPr>
        <w:t xml:space="preserve">. </w:t>
      </w:r>
      <w:r w:rsidR="00D564BF" w:rsidRPr="001E3097">
        <w:rPr>
          <w:rFonts w:ascii="Garamond" w:hAnsi="Garamond" w:cs="Lucida Grande"/>
          <w:color w:val="000000"/>
          <w:sz w:val="25"/>
          <w:szCs w:val="25"/>
          <w:u w:val="single"/>
        </w:rPr>
        <w:t>Dumas</w:t>
      </w:r>
      <w:r w:rsidR="00D564BF" w:rsidRPr="001E3097">
        <w:rPr>
          <w:rFonts w:ascii="Garamond" w:hAnsi="Garamond" w:cs="Lucida Grande"/>
          <w:color w:val="000000"/>
          <w:sz w:val="25"/>
          <w:szCs w:val="25"/>
        </w:rPr>
        <w:t xml:space="preserve">, 53 F.3d </w:t>
      </w:r>
      <w:r w:rsidR="00DD5855" w:rsidRPr="001E3097">
        <w:rPr>
          <w:rFonts w:ascii="Garamond" w:hAnsi="Garamond" w:cs="Lucida Grande"/>
          <w:color w:val="000000"/>
          <w:sz w:val="25"/>
          <w:szCs w:val="25"/>
        </w:rPr>
        <w:t xml:space="preserve">at 558. </w:t>
      </w:r>
      <w:r w:rsidR="000A44D3" w:rsidRPr="001E3097">
        <w:rPr>
          <w:rFonts w:ascii="Garamond" w:eastAsia="Times New Roman" w:hAnsi="Garamond" w:cs="Times New Roman"/>
          <w:sz w:val="25"/>
          <w:szCs w:val="25"/>
        </w:rPr>
        <w:t xml:space="preserve">Plaintiff failed to utilize the proper </w:t>
      </w:r>
      <w:r w:rsidR="00CE4FF9" w:rsidRPr="001E3097">
        <w:rPr>
          <w:rFonts w:ascii="Garamond" w:eastAsia="Times New Roman" w:hAnsi="Garamond" w:cs="Times New Roman"/>
          <w:sz w:val="25"/>
          <w:szCs w:val="25"/>
        </w:rPr>
        <w:t>method</w:t>
      </w:r>
      <w:r w:rsidR="004C5D00" w:rsidRPr="001E3097">
        <w:rPr>
          <w:rFonts w:ascii="Garamond" w:eastAsia="Times New Roman" w:hAnsi="Garamond" w:cs="Times New Roman"/>
          <w:sz w:val="25"/>
          <w:szCs w:val="25"/>
        </w:rPr>
        <w:t xml:space="preserve">, </w:t>
      </w:r>
      <w:r w:rsidR="00C62B8F" w:rsidRPr="001E3097">
        <w:rPr>
          <w:rFonts w:ascii="Garamond" w:hAnsi="Garamond" w:cs="Lucida Grande"/>
          <w:color w:val="000000"/>
          <w:sz w:val="25"/>
          <w:szCs w:val="25"/>
        </w:rPr>
        <w:t xml:space="preserve">§ </w:t>
      </w:r>
      <w:r w:rsidR="004C5D00" w:rsidRPr="001E3097">
        <w:rPr>
          <w:rFonts w:ascii="Garamond" w:eastAsia="Times New Roman" w:hAnsi="Garamond" w:cs="Times New Roman"/>
          <w:sz w:val="25"/>
          <w:szCs w:val="25"/>
        </w:rPr>
        <w:t xml:space="preserve">204, </w:t>
      </w:r>
      <w:r w:rsidR="000A44D3" w:rsidRPr="001E3097">
        <w:rPr>
          <w:rFonts w:ascii="Garamond" w:eastAsia="Times New Roman" w:hAnsi="Garamond" w:cs="Times New Roman"/>
          <w:sz w:val="25"/>
          <w:szCs w:val="25"/>
        </w:rPr>
        <w:t xml:space="preserve">to obtain </w:t>
      </w:r>
      <w:r w:rsidR="00075A73" w:rsidRPr="001E3097">
        <w:rPr>
          <w:rFonts w:ascii="Garamond" w:eastAsia="Times New Roman" w:hAnsi="Garamond" w:cs="Times New Roman"/>
          <w:sz w:val="25"/>
          <w:szCs w:val="25"/>
        </w:rPr>
        <w:t>complete</w:t>
      </w:r>
      <w:r w:rsidR="00863DF6" w:rsidRPr="001E3097">
        <w:rPr>
          <w:rFonts w:ascii="Garamond" w:eastAsia="Times New Roman" w:hAnsi="Garamond" w:cs="Times New Roman"/>
          <w:sz w:val="25"/>
          <w:szCs w:val="25"/>
        </w:rPr>
        <w:t xml:space="preserve"> </w:t>
      </w:r>
      <w:r w:rsidR="000A44D3" w:rsidRPr="001E3097">
        <w:rPr>
          <w:rFonts w:ascii="Garamond" w:eastAsia="Times New Roman" w:hAnsi="Garamond" w:cs="Times New Roman"/>
          <w:sz w:val="25"/>
          <w:szCs w:val="25"/>
        </w:rPr>
        <w:t>copyright ownership</w:t>
      </w:r>
      <w:r w:rsidR="004C5D00" w:rsidRPr="001E3097">
        <w:rPr>
          <w:rFonts w:ascii="Garamond" w:eastAsia="Times New Roman" w:hAnsi="Garamond" w:cs="Times New Roman"/>
          <w:sz w:val="25"/>
          <w:szCs w:val="25"/>
        </w:rPr>
        <w:t xml:space="preserve"> after the creation of a work</w:t>
      </w:r>
      <w:r w:rsidR="000A44D3" w:rsidRPr="001E3097">
        <w:rPr>
          <w:rFonts w:ascii="Garamond" w:eastAsia="Times New Roman" w:hAnsi="Garamond" w:cs="Times New Roman"/>
          <w:sz w:val="25"/>
          <w:szCs w:val="25"/>
        </w:rPr>
        <w:t xml:space="preserve">, and the Court should not </w:t>
      </w:r>
      <w:r w:rsidR="00F514CE" w:rsidRPr="001E3097">
        <w:rPr>
          <w:rFonts w:ascii="Garamond" w:eastAsia="Times New Roman" w:hAnsi="Garamond" w:cs="Times New Roman"/>
          <w:sz w:val="25"/>
          <w:szCs w:val="25"/>
        </w:rPr>
        <w:t>rescue</w:t>
      </w:r>
      <w:r w:rsidR="0082033E">
        <w:rPr>
          <w:rFonts w:ascii="Garamond" w:eastAsia="Times New Roman" w:hAnsi="Garamond" w:cs="Times New Roman"/>
          <w:sz w:val="25"/>
          <w:szCs w:val="25"/>
        </w:rPr>
        <w:t xml:space="preserve"> Plaintiff’s impropriety </w:t>
      </w:r>
      <w:r w:rsidR="00CE4FF9" w:rsidRPr="001E3097">
        <w:rPr>
          <w:rFonts w:ascii="Garamond" w:eastAsia="Times New Roman" w:hAnsi="Garamond" w:cs="Times New Roman"/>
          <w:sz w:val="25"/>
          <w:szCs w:val="25"/>
        </w:rPr>
        <w:t xml:space="preserve">by construing </w:t>
      </w:r>
      <w:r w:rsidR="00863DF6" w:rsidRPr="001E3097">
        <w:rPr>
          <w:rFonts w:ascii="Garamond" w:eastAsia="Times New Roman" w:hAnsi="Garamond" w:cs="Times New Roman"/>
          <w:sz w:val="25"/>
          <w:szCs w:val="25"/>
        </w:rPr>
        <w:t>redundant</w:t>
      </w:r>
      <w:r w:rsidR="00CE4FF9" w:rsidRPr="001E3097">
        <w:rPr>
          <w:rFonts w:ascii="Garamond" w:eastAsia="Times New Roman" w:hAnsi="Garamond" w:cs="Times New Roman"/>
          <w:sz w:val="25"/>
          <w:szCs w:val="25"/>
        </w:rPr>
        <w:t xml:space="preserve"> language </w:t>
      </w:r>
      <w:r w:rsidR="004C5D00" w:rsidRPr="001E3097">
        <w:rPr>
          <w:rFonts w:ascii="Garamond" w:eastAsia="Times New Roman" w:hAnsi="Garamond" w:cs="Times New Roman"/>
          <w:sz w:val="25"/>
          <w:szCs w:val="25"/>
        </w:rPr>
        <w:t xml:space="preserve">in the Act. </w:t>
      </w:r>
    </w:p>
    <w:p w14:paraId="5DFCC6FB" w14:textId="62AC1981" w:rsidR="004E2F89" w:rsidRPr="001E3097" w:rsidRDefault="004C5D00" w:rsidP="00E81D79">
      <w:pPr>
        <w:spacing w:line="480" w:lineRule="auto"/>
        <w:rPr>
          <w:rFonts w:ascii="Garamond" w:hAnsi="Garamond" w:cs="Lucida Grande"/>
          <w:color w:val="000000"/>
          <w:sz w:val="25"/>
          <w:szCs w:val="25"/>
        </w:rPr>
      </w:pPr>
      <w:r w:rsidRPr="001E3097">
        <w:rPr>
          <w:rFonts w:ascii="Garamond" w:eastAsia="Times New Roman" w:hAnsi="Garamond" w:cs="Times New Roman"/>
          <w:sz w:val="25"/>
          <w:szCs w:val="25"/>
        </w:rPr>
        <w:tab/>
      </w:r>
      <w:r w:rsidR="0084447A" w:rsidRPr="001E3097">
        <w:rPr>
          <w:rFonts w:ascii="Garamond" w:eastAsia="Times New Roman" w:hAnsi="Garamond" w:cs="Times New Roman"/>
          <w:sz w:val="25"/>
          <w:szCs w:val="25"/>
        </w:rPr>
        <w:t xml:space="preserve">Third, this Court should avoid </w:t>
      </w:r>
      <w:r w:rsidR="0040082B" w:rsidRPr="001E3097">
        <w:rPr>
          <w:rFonts w:ascii="Garamond" w:eastAsia="Times New Roman" w:hAnsi="Garamond" w:cs="Times New Roman"/>
          <w:sz w:val="25"/>
          <w:szCs w:val="25"/>
        </w:rPr>
        <w:t xml:space="preserve">an interpretation of </w:t>
      </w:r>
      <w:r w:rsidR="0040082B" w:rsidRPr="001E3097">
        <w:rPr>
          <w:rFonts w:ascii="Garamond" w:hAnsi="Garamond" w:cs="Lucida Grande"/>
          <w:color w:val="000000"/>
          <w:sz w:val="25"/>
          <w:szCs w:val="25"/>
        </w:rPr>
        <w:t xml:space="preserve">§ </w:t>
      </w:r>
      <w:r w:rsidR="0040082B" w:rsidRPr="001E3097">
        <w:rPr>
          <w:rFonts w:ascii="Garamond" w:eastAsia="Times New Roman" w:hAnsi="Garamond" w:cs="Times New Roman"/>
          <w:sz w:val="25"/>
          <w:szCs w:val="25"/>
        </w:rPr>
        <w:t xml:space="preserve">101(2) which would “undercut” other statutory </w:t>
      </w:r>
      <w:r w:rsidR="002A4AB4" w:rsidRPr="001E3097">
        <w:rPr>
          <w:rFonts w:ascii="Garamond" w:eastAsia="Times New Roman" w:hAnsi="Garamond" w:cs="Times New Roman"/>
          <w:sz w:val="25"/>
          <w:szCs w:val="25"/>
        </w:rPr>
        <w:t>protections and permissions</w:t>
      </w:r>
      <w:r w:rsidR="0040082B" w:rsidRPr="001E3097">
        <w:rPr>
          <w:rFonts w:ascii="Garamond" w:eastAsia="Times New Roman" w:hAnsi="Garamond" w:cs="Times New Roman"/>
          <w:sz w:val="25"/>
          <w:szCs w:val="25"/>
        </w:rPr>
        <w:t xml:space="preserve">. </w:t>
      </w:r>
      <w:r w:rsidR="0040082B" w:rsidRPr="001E3097">
        <w:rPr>
          <w:rFonts w:ascii="Garamond" w:eastAsia="Times New Roman" w:hAnsi="Garamond" w:cs="Times New Roman"/>
          <w:sz w:val="25"/>
          <w:szCs w:val="25"/>
          <w:u w:val="single"/>
        </w:rPr>
        <w:t>Gade v. Nat'l Solid Wastes Mgmt. Ass'n</w:t>
      </w:r>
      <w:r w:rsidR="0040082B" w:rsidRPr="001E3097">
        <w:rPr>
          <w:rFonts w:ascii="Garamond" w:eastAsia="Times New Roman" w:hAnsi="Garamond" w:cs="Times New Roman"/>
          <w:sz w:val="25"/>
          <w:szCs w:val="25"/>
        </w:rPr>
        <w:t xml:space="preserve">, 505 U.S. 88, 100-01 (1992). </w:t>
      </w:r>
      <w:r w:rsidR="002A4AB4" w:rsidRPr="001E3097">
        <w:rPr>
          <w:rFonts w:ascii="Garamond" w:eastAsia="Times New Roman" w:hAnsi="Garamond" w:cs="Times New Roman"/>
          <w:sz w:val="25"/>
          <w:szCs w:val="25"/>
        </w:rPr>
        <w:t xml:space="preserve">Plaintiff </w:t>
      </w:r>
      <w:r w:rsidR="0084447A" w:rsidRPr="001E3097">
        <w:rPr>
          <w:rFonts w:ascii="Garamond" w:eastAsia="Times New Roman" w:hAnsi="Garamond" w:cs="Times New Roman"/>
          <w:sz w:val="25"/>
          <w:szCs w:val="25"/>
        </w:rPr>
        <w:t>interpre</w:t>
      </w:r>
      <w:r w:rsidR="002A4AB4" w:rsidRPr="001E3097">
        <w:rPr>
          <w:rFonts w:ascii="Garamond" w:eastAsia="Times New Roman" w:hAnsi="Garamond" w:cs="Times New Roman"/>
          <w:sz w:val="25"/>
          <w:szCs w:val="25"/>
        </w:rPr>
        <w:t>ts</w:t>
      </w:r>
      <w:r w:rsidR="0084447A" w:rsidRPr="001E3097">
        <w:rPr>
          <w:rFonts w:ascii="Garamond" w:eastAsia="Times New Roman" w:hAnsi="Garamond" w:cs="Times New Roman"/>
          <w:sz w:val="25"/>
          <w:szCs w:val="25"/>
        </w:rPr>
        <w:t xml:space="preserve"> 17 U.S.C. 101(2) in a manner </w:t>
      </w:r>
      <w:r w:rsidR="002A4AB4" w:rsidRPr="001E3097">
        <w:rPr>
          <w:rFonts w:ascii="Garamond" w:eastAsia="Times New Roman" w:hAnsi="Garamond" w:cs="Times New Roman"/>
          <w:sz w:val="25"/>
          <w:szCs w:val="25"/>
        </w:rPr>
        <w:t>that undermines</w:t>
      </w:r>
      <w:r w:rsidR="0040082B" w:rsidRPr="001E3097">
        <w:rPr>
          <w:rFonts w:ascii="Garamond" w:eastAsia="Times New Roman" w:hAnsi="Garamond" w:cs="Times New Roman"/>
          <w:sz w:val="25"/>
          <w:szCs w:val="25"/>
        </w:rPr>
        <w:t xml:space="preserve"> </w:t>
      </w:r>
      <w:r w:rsidR="002A4AB4" w:rsidRPr="001E3097">
        <w:rPr>
          <w:rFonts w:ascii="Garamond" w:eastAsia="Times New Roman" w:hAnsi="Garamond" w:cs="Times New Roman"/>
          <w:sz w:val="25"/>
          <w:szCs w:val="25"/>
        </w:rPr>
        <w:t>subsequent</w:t>
      </w:r>
      <w:r w:rsidR="0040082B" w:rsidRPr="001E3097">
        <w:rPr>
          <w:rFonts w:ascii="Garamond" w:eastAsia="Times New Roman" w:hAnsi="Garamond" w:cs="Times New Roman"/>
          <w:sz w:val="25"/>
          <w:szCs w:val="25"/>
        </w:rPr>
        <w:t xml:space="preserve"> provisions. </w:t>
      </w:r>
      <w:r w:rsidR="00C62B8F" w:rsidRPr="001E3097">
        <w:rPr>
          <w:rFonts w:ascii="Garamond" w:eastAsia="Times New Roman" w:hAnsi="Garamond" w:cs="Times New Roman"/>
          <w:sz w:val="25"/>
          <w:szCs w:val="25"/>
        </w:rPr>
        <w:t xml:space="preserve">17 U.S.C. </w:t>
      </w:r>
      <w:r w:rsidR="00C62B8F" w:rsidRPr="001E3097">
        <w:rPr>
          <w:rFonts w:ascii="Garamond" w:hAnsi="Garamond" w:cs="Lucida Grande"/>
          <w:color w:val="000000"/>
          <w:sz w:val="25"/>
          <w:szCs w:val="25"/>
        </w:rPr>
        <w:t>§ 106A reflects the intent of Congress to protect a particular class of artists</w:t>
      </w:r>
      <w:r w:rsidR="00FA265B" w:rsidRPr="001E3097">
        <w:rPr>
          <w:rFonts w:ascii="Garamond" w:hAnsi="Garamond" w:cs="Lucida Grande"/>
          <w:color w:val="000000"/>
          <w:sz w:val="25"/>
          <w:szCs w:val="25"/>
        </w:rPr>
        <w:t xml:space="preserve">—authors of </w:t>
      </w:r>
      <w:r w:rsidR="00B619FD" w:rsidRPr="001E3097">
        <w:rPr>
          <w:rFonts w:ascii="Garamond" w:hAnsi="Garamond" w:cs="Lucida Grande"/>
          <w:color w:val="000000"/>
          <w:sz w:val="25"/>
          <w:szCs w:val="25"/>
        </w:rPr>
        <w:t xml:space="preserve">works of </w:t>
      </w:r>
      <w:r w:rsidR="002A4AB4" w:rsidRPr="001E3097">
        <w:rPr>
          <w:rFonts w:ascii="Garamond" w:hAnsi="Garamond" w:cs="Lucida Grande"/>
          <w:color w:val="000000"/>
          <w:sz w:val="25"/>
          <w:szCs w:val="25"/>
        </w:rPr>
        <w:t xml:space="preserve">visual art—and vests with them </w:t>
      </w:r>
      <w:r w:rsidR="00FA265B" w:rsidRPr="001E3097">
        <w:rPr>
          <w:rFonts w:ascii="Garamond" w:hAnsi="Garamond" w:cs="Lucida Grande"/>
          <w:color w:val="000000"/>
          <w:sz w:val="25"/>
          <w:szCs w:val="25"/>
        </w:rPr>
        <w:t>two moral ri</w:t>
      </w:r>
      <w:r w:rsidR="00B619FD" w:rsidRPr="001E3097">
        <w:rPr>
          <w:rFonts w:ascii="Garamond" w:hAnsi="Garamond" w:cs="Lucida Grande"/>
          <w:color w:val="000000"/>
          <w:sz w:val="25"/>
          <w:szCs w:val="25"/>
        </w:rPr>
        <w:t xml:space="preserve">ghts: the right of attribution, </w:t>
      </w:r>
      <w:r w:rsidR="00FA265B" w:rsidRPr="001E3097">
        <w:rPr>
          <w:rFonts w:ascii="Garamond" w:hAnsi="Garamond" w:cs="Lucida Grande"/>
          <w:color w:val="000000"/>
          <w:sz w:val="25"/>
          <w:szCs w:val="25"/>
        </w:rPr>
        <w:t>and the right to prevent revision, alteration, or distortion of a work, r</w:t>
      </w:r>
      <w:r w:rsidR="00B619FD" w:rsidRPr="001E3097">
        <w:rPr>
          <w:rFonts w:ascii="Garamond" w:hAnsi="Garamond" w:cs="Lucida Grande"/>
          <w:color w:val="000000"/>
          <w:sz w:val="25"/>
          <w:szCs w:val="25"/>
        </w:rPr>
        <w:t xml:space="preserve">egardless of who owns the work. </w:t>
      </w:r>
      <w:r w:rsidR="00B619FD" w:rsidRPr="001E3097">
        <w:rPr>
          <w:rFonts w:ascii="Garamond" w:eastAsia="Times New Roman" w:hAnsi="Garamond" w:cs="Times New Roman"/>
          <w:sz w:val="25"/>
          <w:szCs w:val="25"/>
        </w:rPr>
        <w:t xml:space="preserve">17 U.S.C. </w:t>
      </w:r>
      <w:r w:rsidR="00B619FD" w:rsidRPr="001E3097">
        <w:rPr>
          <w:rFonts w:ascii="Garamond" w:hAnsi="Garamond" w:cs="Lucida Grande"/>
          <w:color w:val="000000"/>
          <w:sz w:val="25"/>
          <w:szCs w:val="25"/>
        </w:rPr>
        <w:t xml:space="preserve">§ 106A(a). </w:t>
      </w:r>
      <w:r w:rsidR="00FA265B" w:rsidRPr="001E3097">
        <w:rPr>
          <w:rFonts w:ascii="Garamond" w:hAnsi="Garamond" w:cs="Lucida Grande"/>
          <w:color w:val="000000"/>
          <w:sz w:val="25"/>
          <w:szCs w:val="25"/>
        </w:rPr>
        <w:t xml:space="preserve">These </w:t>
      </w:r>
      <w:r w:rsidR="00B619FD" w:rsidRPr="001E3097">
        <w:rPr>
          <w:rFonts w:ascii="Garamond" w:hAnsi="Garamond" w:cs="Lucida Grande"/>
          <w:color w:val="000000"/>
          <w:sz w:val="25"/>
          <w:szCs w:val="25"/>
        </w:rPr>
        <w:t xml:space="preserve">rights </w:t>
      </w:r>
      <w:r w:rsidR="00FA265B" w:rsidRPr="001E3097">
        <w:rPr>
          <w:rFonts w:ascii="Garamond" w:hAnsi="Garamond" w:cs="Lucida Grande"/>
          <w:color w:val="000000"/>
          <w:sz w:val="25"/>
          <w:szCs w:val="25"/>
        </w:rPr>
        <w:t>expire at the end of the author’s life. 17 U.S.C. §</w:t>
      </w:r>
      <w:r w:rsidR="00B619FD" w:rsidRPr="001E3097">
        <w:rPr>
          <w:rFonts w:ascii="Garamond" w:hAnsi="Garamond" w:cs="Lucida Grande"/>
          <w:color w:val="000000"/>
          <w:sz w:val="25"/>
          <w:szCs w:val="25"/>
        </w:rPr>
        <w:t xml:space="preserve"> 106A(d).</w:t>
      </w:r>
      <w:r w:rsidR="00FA265B" w:rsidRPr="001E3097">
        <w:rPr>
          <w:rFonts w:ascii="Garamond" w:hAnsi="Garamond" w:cs="Lucida Grande"/>
          <w:color w:val="000000"/>
          <w:sz w:val="25"/>
          <w:szCs w:val="25"/>
        </w:rPr>
        <w:t xml:space="preserve"> Moreover, they are </w:t>
      </w:r>
      <w:r w:rsidR="00B619FD" w:rsidRPr="001E3097">
        <w:rPr>
          <w:rFonts w:ascii="Garamond" w:hAnsi="Garamond" w:cs="Lucida Grande"/>
          <w:color w:val="000000"/>
          <w:sz w:val="25"/>
          <w:szCs w:val="25"/>
        </w:rPr>
        <w:t>inalienable</w:t>
      </w:r>
      <w:r w:rsidR="00FA265B" w:rsidRPr="001E3097">
        <w:rPr>
          <w:rFonts w:ascii="Garamond" w:hAnsi="Garamond" w:cs="Lucida Grande"/>
          <w:color w:val="000000"/>
          <w:sz w:val="25"/>
          <w:szCs w:val="25"/>
        </w:rPr>
        <w:t xml:space="preserve"> through normal transfers of copyright ownership, and can only be waived “if the author expressly agrees to such a waiver in a written instrument signed by the author. Such instrument shall specifically identify the work, and uses of that work, to which the waiver applies, and the waiver shall apply only to the work and uses so identified.” 17 U.S.C. § 1</w:t>
      </w:r>
      <w:r w:rsidR="00B619FD" w:rsidRPr="001E3097">
        <w:rPr>
          <w:rFonts w:ascii="Garamond" w:hAnsi="Garamond" w:cs="Lucida Grande"/>
          <w:color w:val="000000"/>
          <w:sz w:val="25"/>
          <w:szCs w:val="25"/>
        </w:rPr>
        <w:t xml:space="preserve">06A(e). The structure and language of this </w:t>
      </w:r>
      <w:r w:rsidR="00D86611" w:rsidRPr="001E3097">
        <w:rPr>
          <w:rFonts w:ascii="Garamond" w:hAnsi="Garamond" w:cs="Lucida Grande"/>
          <w:color w:val="000000"/>
          <w:sz w:val="25"/>
          <w:szCs w:val="25"/>
        </w:rPr>
        <w:t>provision</w:t>
      </w:r>
      <w:r w:rsidR="002A4AB4" w:rsidRPr="001E3097">
        <w:rPr>
          <w:rFonts w:ascii="Garamond" w:hAnsi="Garamond" w:cs="Lucida Grande"/>
          <w:color w:val="000000"/>
          <w:sz w:val="25"/>
          <w:szCs w:val="25"/>
        </w:rPr>
        <w:t xml:space="preserve"> indicate Congress’</w:t>
      </w:r>
      <w:r w:rsidR="00B619FD" w:rsidRPr="001E3097">
        <w:rPr>
          <w:rFonts w:ascii="Garamond" w:hAnsi="Garamond" w:cs="Lucida Grande"/>
          <w:color w:val="000000"/>
          <w:sz w:val="25"/>
          <w:szCs w:val="25"/>
        </w:rPr>
        <w:t xml:space="preserve"> desire to ensure authors of works of visual art do not unintentionally waive their moral rights. However, Plaintiff’s reading of </w:t>
      </w:r>
      <w:r w:rsidR="00DE3D98" w:rsidRPr="001E3097">
        <w:rPr>
          <w:rFonts w:ascii="Garamond" w:hAnsi="Garamond" w:cs="Lucida Grande"/>
          <w:color w:val="000000"/>
          <w:sz w:val="25"/>
          <w:szCs w:val="25"/>
        </w:rPr>
        <w:t xml:space="preserve">17 U.S.C. </w:t>
      </w:r>
      <w:r w:rsidR="00B619FD" w:rsidRPr="001E3097">
        <w:rPr>
          <w:rFonts w:ascii="Garamond" w:hAnsi="Garamond" w:cs="Lucida Grande"/>
          <w:color w:val="000000"/>
          <w:sz w:val="25"/>
          <w:szCs w:val="25"/>
        </w:rPr>
        <w:t>§ 101</w:t>
      </w:r>
      <w:r w:rsidR="002D5B12" w:rsidRPr="001E3097">
        <w:rPr>
          <w:rFonts w:ascii="Garamond" w:hAnsi="Garamond" w:cs="Lucida Grande"/>
          <w:color w:val="000000"/>
          <w:sz w:val="25"/>
          <w:szCs w:val="25"/>
        </w:rPr>
        <w:t>(2)</w:t>
      </w:r>
      <w:r w:rsidR="00B619FD" w:rsidRPr="001E3097">
        <w:rPr>
          <w:rFonts w:ascii="Garamond" w:hAnsi="Garamond" w:cs="Lucida Grande"/>
          <w:color w:val="000000"/>
          <w:sz w:val="25"/>
          <w:szCs w:val="25"/>
        </w:rPr>
        <w:t xml:space="preserve"> would unambiguously allow an author of a work of visual art to inadvertently relinquish her moral rights by retroactively signing a work for hire agreement, waiving those rights without </w:t>
      </w:r>
      <w:r w:rsidR="00DE3D98" w:rsidRPr="001E3097">
        <w:rPr>
          <w:rFonts w:ascii="Garamond" w:hAnsi="Garamond" w:cs="Lucida Grande"/>
          <w:color w:val="000000"/>
          <w:sz w:val="25"/>
          <w:szCs w:val="25"/>
        </w:rPr>
        <w:t>benefiting from the extensive protections Congress set forth in 17 U.S.C. § 106A(e).</w:t>
      </w:r>
      <w:r w:rsidR="00700039" w:rsidRPr="001E3097">
        <w:rPr>
          <w:rFonts w:ascii="Garamond" w:hAnsi="Garamond" w:cs="Lucida Grande"/>
          <w:color w:val="000000"/>
          <w:sz w:val="25"/>
          <w:szCs w:val="25"/>
        </w:rPr>
        <w:t xml:space="preserve"> This Court cannot allow future parties to </w:t>
      </w:r>
      <w:r w:rsidR="002A4AB4" w:rsidRPr="001E3097">
        <w:rPr>
          <w:rFonts w:ascii="Garamond" w:hAnsi="Garamond" w:cs="Lucida Grande"/>
          <w:color w:val="000000"/>
          <w:sz w:val="25"/>
          <w:szCs w:val="25"/>
        </w:rPr>
        <w:t>thwart other provisions of</w:t>
      </w:r>
      <w:r w:rsidR="00700039" w:rsidRPr="001E3097">
        <w:rPr>
          <w:rFonts w:ascii="Garamond" w:hAnsi="Garamond" w:cs="Lucida Grande"/>
          <w:color w:val="000000"/>
          <w:sz w:val="25"/>
          <w:szCs w:val="25"/>
        </w:rPr>
        <w:t xml:space="preserve"> the Copyright Act by creating a method for sophisticated buyers to dupe authors of works of visual art. </w:t>
      </w:r>
    </w:p>
    <w:p w14:paraId="7F5B589B" w14:textId="6B8200C5" w:rsidR="002A4AB4" w:rsidRPr="001E3097" w:rsidRDefault="002A4AB4" w:rsidP="00E81D79">
      <w:pPr>
        <w:spacing w:line="480" w:lineRule="auto"/>
        <w:rPr>
          <w:rFonts w:ascii="Garamond" w:eastAsia="Times New Roman" w:hAnsi="Garamond" w:cs="Times New Roman"/>
          <w:sz w:val="25"/>
          <w:szCs w:val="25"/>
        </w:rPr>
      </w:pPr>
      <w:r w:rsidRPr="001E3097">
        <w:rPr>
          <w:rFonts w:ascii="Garamond" w:hAnsi="Garamond" w:cs="Lucida Grande"/>
          <w:color w:val="000000"/>
          <w:sz w:val="25"/>
          <w:szCs w:val="25"/>
        </w:rPr>
        <w:tab/>
        <w:t xml:space="preserve">Given the structure of the Copyright Act, a written agreement must be executed before a work made for hire is created, and the Complaint must be dismissed. </w:t>
      </w:r>
    </w:p>
    <w:p w14:paraId="2AF21B14" w14:textId="3771024A" w:rsidR="006A196E" w:rsidRPr="001E3097" w:rsidRDefault="00343F5C" w:rsidP="008D0BE3">
      <w:pPr>
        <w:rPr>
          <w:rFonts w:ascii="Garamond" w:eastAsia="Times New Roman" w:hAnsi="Garamond" w:cs="Times New Roman"/>
          <w:b/>
          <w:sz w:val="25"/>
          <w:szCs w:val="25"/>
        </w:rPr>
      </w:pPr>
      <w:r w:rsidRPr="001E3097">
        <w:rPr>
          <w:rFonts w:ascii="Garamond" w:eastAsia="Times New Roman" w:hAnsi="Garamond" w:cs="Times New Roman"/>
          <w:b/>
          <w:sz w:val="25"/>
          <w:szCs w:val="25"/>
        </w:rPr>
        <w:t xml:space="preserve">C. </w:t>
      </w:r>
      <w:r w:rsidR="000E0E84" w:rsidRPr="001E3097">
        <w:rPr>
          <w:rFonts w:ascii="Garamond" w:eastAsia="Times New Roman" w:hAnsi="Garamond" w:cs="Times New Roman"/>
          <w:b/>
          <w:sz w:val="25"/>
          <w:szCs w:val="25"/>
        </w:rPr>
        <w:t>This Court</w:t>
      </w:r>
      <w:r w:rsidR="00F17B15" w:rsidRPr="001E3097">
        <w:rPr>
          <w:rFonts w:ascii="Garamond" w:eastAsia="Times New Roman" w:hAnsi="Garamond" w:cs="Times New Roman"/>
          <w:b/>
          <w:sz w:val="25"/>
          <w:szCs w:val="25"/>
        </w:rPr>
        <w:t xml:space="preserve"> </w:t>
      </w:r>
      <w:r w:rsidR="008D0BE3" w:rsidRPr="001E3097">
        <w:rPr>
          <w:rFonts w:ascii="Garamond" w:eastAsia="Times New Roman" w:hAnsi="Garamond" w:cs="Times New Roman"/>
          <w:b/>
          <w:sz w:val="25"/>
          <w:szCs w:val="25"/>
        </w:rPr>
        <w:t>Must</w:t>
      </w:r>
      <w:r w:rsidR="00F17B15" w:rsidRPr="001E3097">
        <w:rPr>
          <w:rFonts w:ascii="Garamond" w:eastAsia="Times New Roman" w:hAnsi="Garamond" w:cs="Times New Roman"/>
          <w:b/>
          <w:sz w:val="25"/>
          <w:szCs w:val="25"/>
        </w:rPr>
        <w:t xml:space="preserve"> Obey Legislative Intent In Preserving Predictability I</w:t>
      </w:r>
      <w:r w:rsidR="000E0E84" w:rsidRPr="001E3097">
        <w:rPr>
          <w:rFonts w:ascii="Garamond" w:eastAsia="Times New Roman" w:hAnsi="Garamond" w:cs="Times New Roman"/>
          <w:b/>
          <w:sz w:val="25"/>
          <w:szCs w:val="25"/>
        </w:rPr>
        <w:t>n Copyright</w:t>
      </w:r>
      <w:r w:rsidR="008D0BE3" w:rsidRPr="001E3097">
        <w:rPr>
          <w:rFonts w:ascii="Garamond" w:eastAsia="Times New Roman" w:hAnsi="Garamond" w:cs="Times New Roman"/>
          <w:b/>
          <w:sz w:val="25"/>
          <w:szCs w:val="25"/>
        </w:rPr>
        <w:t xml:space="preserve"> by Requiring a Written Agreement Prior to Creation of the Work.</w:t>
      </w:r>
    </w:p>
    <w:p w14:paraId="0571A508" w14:textId="77777777" w:rsidR="008D0BE3" w:rsidRPr="001E3097" w:rsidRDefault="008D0BE3" w:rsidP="008D0BE3">
      <w:pPr>
        <w:rPr>
          <w:rFonts w:ascii="Garamond" w:eastAsia="Times New Roman" w:hAnsi="Garamond" w:cs="Times New Roman"/>
          <w:b/>
          <w:sz w:val="25"/>
          <w:szCs w:val="25"/>
        </w:rPr>
      </w:pPr>
    </w:p>
    <w:p w14:paraId="4E663CFA" w14:textId="16907269" w:rsidR="00AE5A52" w:rsidRPr="001E3097" w:rsidRDefault="000E0851" w:rsidP="006219D1">
      <w:pPr>
        <w:spacing w:line="480" w:lineRule="auto"/>
        <w:rPr>
          <w:rFonts w:ascii="Garamond" w:eastAsia="Times New Roman" w:hAnsi="Garamond" w:cs="Times New Roman"/>
          <w:sz w:val="25"/>
          <w:szCs w:val="25"/>
        </w:rPr>
      </w:pPr>
      <w:r w:rsidRPr="001E3097">
        <w:rPr>
          <w:rFonts w:ascii="Garamond" w:eastAsia="Times New Roman" w:hAnsi="Garamond" w:cs="Times New Roman"/>
          <w:sz w:val="25"/>
          <w:szCs w:val="25"/>
        </w:rPr>
        <w:tab/>
      </w:r>
      <w:r w:rsidR="00AE5A52" w:rsidRPr="001E3097">
        <w:rPr>
          <w:rFonts w:ascii="Garamond" w:eastAsia="Times New Roman" w:hAnsi="Garamond" w:cs="Times New Roman"/>
          <w:sz w:val="25"/>
          <w:szCs w:val="25"/>
        </w:rPr>
        <w:t xml:space="preserve">If a court cannot interpret a statute based on its plain meaning, a court may turn to legislative history to divine Congress’ intent. </w:t>
      </w:r>
      <w:r w:rsidR="00AE5A52" w:rsidRPr="001E3097">
        <w:rPr>
          <w:rFonts w:ascii="Garamond" w:eastAsia="Times New Roman" w:hAnsi="Garamond" w:cs="Times New Roman"/>
          <w:sz w:val="25"/>
          <w:szCs w:val="25"/>
          <w:u w:val="single"/>
        </w:rPr>
        <w:t>Fla. Power &amp; Light Co. v. Lorion</w:t>
      </w:r>
      <w:r w:rsidR="00AE5A52" w:rsidRPr="001E3097">
        <w:rPr>
          <w:rFonts w:ascii="Garamond" w:eastAsia="Times New Roman" w:hAnsi="Garamond" w:cs="Times New Roman"/>
          <w:sz w:val="25"/>
          <w:szCs w:val="25"/>
        </w:rPr>
        <w:t xml:space="preserve">, 470 U.S. 729, 737 (1985). </w:t>
      </w:r>
      <w:r w:rsidRPr="001E3097">
        <w:rPr>
          <w:rFonts w:ascii="Garamond" w:eastAsia="Times New Roman" w:hAnsi="Garamond" w:cs="Times New Roman"/>
          <w:sz w:val="25"/>
          <w:szCs w:val="25"/>
        </w:rPr>
        <w:t>The “paramoun</w:t>
      </w:r>
      <w:r w:rsidR="00AE5A52" w:rsidRPr="001E3097">
        <w:rPr>
          <w:rFonts w:ascii="Garamond" w:eastAsia="Times New Roman" w:hAnsi="Garamond" w:cs="Times New Roman"/>
          <w:sz w:val="25"/>
          <w:szCs w:val="25"/>
        </w:rPr>
        <w:t xml:space="preserve">t goal” of the Copyright Act </w:t>
      </w:r>
      <w:r w:rsidRPr="001E3097">
        <w:rPr>
          <w:rFonts w:ascii="Garamond" w:eastAsia="Times New Roman" w:hAnsi="Garamond" w:cs="Times New Roman"/>
          <w:sz w:val="25"/>
          <w:szCs w:val="25"/>
        </w:rPr>
        <w:t xml:space="preserve">was to create a “national, uniform copyright law” and thus promote “predictability and certainty of copyright ownership.” </w:t>
      </w:r>
      <w:r w:rsidRPr="001E3097">
        <w:rPr>
          <w:rFonts w:ascii="Garamond" w:eastAsia="Times New Roman" w:hAnsi="Garamond" w:cs="Times New Roman"/>
          <w:sz w:val="25"/>
          <w:szCs w:val="25"/>
          <w:u w:val="single"/>
        </w:rPr>
        <w:t>Community for Creative Non-Violence v. Reid</w:t>
      </w:r>
      <w:r w:rsidRPr="001E3097">
        <w:rPr>
          <w:rFonts w:ascii="Garamond" w:eastAsia="Times New Roman" w:hAnsi="Garamond" w:cs="Times New Roman"/>
          <w:sz w:val="25"/>
          <w:szCs w:val="25"/>
        </w:rPr>
        <w:t>, 490 U.S. 730, 740, 749 (1989).</w:t>
      </w:r>
      <w:r w:rsidR="00AE5A52" w:rsidRPr="001E3097">
        <w:rPr>
          <w:rFonts w:ascii="Garamond" w:eastAsia="Times New Roman" w:hAnsi="Garamond" w:cs="Times New Roman"/>
          <w:sz w:val="25"/>
          <w:szCs w:val="25"/>
        </w:rPr>
        <w:t xml:space="preserve"> The purpose of the Copyright Act of 1976 supports the requirement of a </w:t>
      </w:r>
      <w:r w:rsidR="002A5863">
        <w:rPr>
          <w:rFonts w:ascii="Garamond" w:eastAsia="Times New Roman" w:hAnsi="Garamond" w:cs="Times New Roman"/>
          <w:sz w:val="25"/>
          <w:szCs w:val="25"/>
        </w:rPr>
        <w:t>pre-creation writing.</w:t>
      </w:r>
      <w:r w:rsidR="00AE5A52" w:rsidRPr="001E3097">
        <w:rPr>
          <w:rFonts w:ascii="Garamond" w:eastAsia="Times New Roman" w:hAnsi="Garamond" w:cs="Times New Roman"/>
          <w:sz w:val="25"/>
          <w:szCs w:val="25"/>
        </w:rPr>
        <w:t xml:space="preserve"> </w:t>
      </w:r>
    </w:p>
    <w:p w14:paraId="4E417187" w14:textId="0EE9DD78" w:rsidR="007F54AC" w:rsidRPr="001E3097" w:rsidRDefault="002D5B12" w:rsidP="006219D1">
      <w:pPr>
        <w:spacing w:line="480" w:lineRule="auto"/>
        <w:rPr>
          <w:rFonts w:ascii="Garamond" w:eastAsia="Times New Roman" w:hAnsi="Garamond" w:cs="Times New Roman"/>
          <w:sz w:val="25"/>
          <w:szCs w:val="25"/>
          <w:shd w:val="clear" w:color="auto" w:fill="FFFFFF"/>
        </w:rPr>
      </w:pPr>
      <w:r w:rsidRPr="001E3097">
        <w:rPr>
          <w:rFonts w:ascii="Garamond" w:eastAsia="Times New Roman" w:hAnsi="Garamond" w:cs="Times New Roman"/>
          <w:sz w:val="25"/>
          <w:szCs w:val="25"/>
        </w:rPr>
        <w:tab/>
        <w:t xml:space="preserve">The requirement of a </w:t>
      </w:r>
      <w:r w:rsidR="002C0DCE" w:rsidRPr="001E3097">
        <w:rPr>
          <w:rFonts w:ascii="Garamond" w:eastAsia="Times New Roman" w:hAnsi="Garamond" w:cs="Times New Roman"/>
          <w:sz w:val="25"/>
          <w:szCs w:val="25"/>
        </w:rPr>
        <w:t xml:space="preserve">pre-creation </w:t>
      </w:r>
      <w:r w:rsidRPr="001E3097">
        <w:rPr>
          <w:rFonts w:ascii="Garamond" w:eastAsia="Times New Roman" w:hAnsi="Garamond" w:cs="Times New Roman"/>
          <w:sz w:val="25"/>
          <w:szCs w:val="25"/>
        </w:rPr>
        <w:t xml:space="preserve">signed written agreement in </w:t>
      </w:r>
      <w:r w:rsidRPr="001E3097">
        <w:rPr>
          <w:rFonts w:ascii="Garamond" w:hAnsi="Garamond" w:cs="Lucida Grande"/>
          <w:color w:val="000000"/>
          <w:sz w:val="25"/>
          <w:szCs w:val="25"/>
        </w:rPr>
        <w:t xml:space="preserve">17 U.S.C. § 101(2) </w:t>
      </w:r>
      <w:r w:rsidR="00486DB5">
        <w:rPr>
          <w:rFonts w:ascii="Garamond" w:hAnsi="Garamond" w:cs="Lucida Grande"/>
          <w:color w:val="000000"/>
          <w:sz w:val="25"/>
          <w:szCs w:val="25"/>
        </w:rPr>
        <w:t>achieves</w:t>
      </w:r>
      <w:r w:rsidRPr="001E3097">
        <w:rPr>
          <w:rFonts w:ascii="Garamond" w:hAnsi="Garamond" w:cs="Lucida Grande"/>
          <w:color w:val="000000"/>
          <w:sz w:val="25"/>
          <w:szCs w:val="25"/>
        </w:rPr>
        <w:t xml:space="preserve"> the purpose elucidated by the Supreme Court in </w:t>
      </w:r>
      <w:r w:rsidRPr="001E3097">
        <w:rPr>
          <w:rFonts w:ascii="Garamond" w:hAnsi="Garamond" w:cs="Lucida Grande"/>
          <w:color w:val="000000"/>
          <w:sz w:val="25"/>
          <w:szCs w:val="25"/>
          <w:u w:val="single"/>
        </w:rPr>
        <w:t>Reid</w:t>
      </w:r>
      <w:r w:rsidRPr="001E3097">
        <w:rPr>
          <w:rFonts w:ascii="Garamond" w:hAnsi="Garamond" w:cs="Lucida Grande"/>
          <w:color w:val="000000"/>
          <w:sz w:val="25"/>
          <w:szCs w:val="25"/>
        </w:rPr>
        <w:t xml:space="preserve">. As Judge Posner observed, </w:t>
      </w:r>
      <w:r w:rsidR="002C0DCE" w:rsidRPr="001E3097">
        <w:rPr>
          <w:rFonts w:ascii="Garamond" w:hAnsi="Garamond" w:cs="Lucida Grande"/>
          <w:color w:val="000000"/>
          <w:sz w:val="25"/>
          <w:szCs w:val="25"/>
        </w:rPr>
        <w:t xml:space="preserve">the writing requirement in </w:t>
      </w:r>
      <w:r w:rsidRPr="001E3097">
        <w:rPr>
          <w:rFonts w:ascii="Garamond" w:hAnsi="Garamond" w:cs="Lucida Grande"/>
          <w:color w:val="000000"/>
          <w:sz w:val="25"/>
          <w:szCs w:val="25"/>
        </w:rPr>
        <w:t xml:space="preserve">§ 101(2) is not merely a statute of frauds, designed </w:t>
      </w:r>
      <w:r w:rsidR="00AE5A52" w:rsidRPr="001E3097">
        <w:rPr>
          <w:rFonts w:ascii="Garamond" w:hAnsi="Garamond" w:cs="Lucida Grande"/>
          <w:color w:val="000000"/>
          <w:sz w:val="25"/>
          <w:szCs w:val="25"/>
        </w:rPr>
        <w:t xml:space="preserve">simply </w:t>
      </w:r>
      <w:r w:rsidRPr="001E3097">
        <w:rPr>
          <w:rFonts w:ascii="Garamond" w:hAnsi="Garamond" w:cs="Lucida Grande"/>
          <w:color w:val="000000"/>
          <w:sz w:val="25"/>
          <w:szCs w:val="25"/>
        </w:rPr>
        <w:t xml:space="preserve">to protect individual parties against false claims of oral agreements. </w:t>
      </w:r>
      <w:r w:rsidRPr="001E3097">
        <w:rPr>
          <w:rFonts w:ascii="Garamond" w:eastAsia="Times New Roman" w:hAnsi="Garamond" w:cs="Times New Roman"/>
          <w:sz w:val="25"/>
          <w:szCs w:val="25"/>
          <w:u w:val="single"/>
          <w:shd w:val="clear" w:color="auto" w:fill="FFFFFF"/>
        </w:rPr>
        <w:t>Schiller &amp; Schmidt, Inc. v. Nordisco Corp.</w:t>
      </w:r>
      <w:r w:rsidRPr="001E3097">
        <w:rPr>
          <w:rFonts w:ascii="Garamond" w:eastAsia="Times New Roman" w:hAnsi="Garamond" w:cs="Times New Roman"/>
          <w:sz w:val="25"/>
          <w:szCs w:val="25"/>
          <w:shd w:val="clear" w:color="auto" w:fill="FFFFFF"/>
        </w:rPr>
        <w:t xml:space="preserve">, 969 F.2d 410, 412 (7th Cir. 1992). </w:t>
      </w:r>
      <w:r w:rsidR="002C0DCE" w:rsidRPr="001E3097">
        <w:rPr>
          <w:rFonts w:ascii="Garamond" w:eastAsia="Times New Roman" w:hAnsi="Garamond" w:cs="Times New Roman"/>
          <w:sz w:val="25"/>
          <w:szCs w:val="25"/>
          <w:shd w:val="clear" w:color="auto" w:fill="FFFFFF"/>
        </w:rPr>
        <w:t xml:space="preserve">It also </w:t>
      </w:r>
      <w:r w:rsidRPr="001E3097">
        <w:rPr>
          <w:rFonts w:ascii="Garamond" w:eastAsia="Times New Roman" w:hAnsi="Garamond" w:cs="Times New Roman"/>
          <w:sz w:val="25"/>
          <w:szCs w:val="25"/>
          <w:shd w:val="clear" w:color="auto" w:fill="FFFFFF"/>
        </w:rPr>
        <w:t>“has a second purpose—to make the ownership of property rights in intellectual property clear and definite, so that such property will be readily marketable.</w:t>
      </w:r>
      <w:r w:rsidR="00486DB5">
        <w:rPr>
          <w:rFonts w:ascii="Garamond" w:eastAsia="Times New Roman" w:hAnsi="Garamond" w:cs="Times New Roman"/>
          <w:sz w:val="25"/>
          <w:szCs w:val="25"/>
          <w:shd w:val="clear" w:color="auto" w:fill="FFFFFF"/>
        </w:rPr>
        <w:t>”</w:t>
      </w:r>
      <w:r w:rsidRPr="001E3097">
        <w:rPr>
          <w:rFonts w:ascii="Garamond" w:eastAsia="Times New Roman" w:hAnsi="Garamond" w:cs="Times New Roman"/>
          <w:sz w:val="25"/>
          <w:szCs w:val="25"/>
          <w:shd w:val="clear" w:color="auto" w:fill="FFFFFF"/>
        </w:rPr>
        <w:t xml:space="preserve"> </w:t>
      </w:r>
      <w:r w:rsidRPr="001E3097">
        <w:rPr>
          <w:rFonts w:ascii="Garamond" w:eastAsia="Times New Roman" w:hAnsi="Garamond" w:cs="Times New Roman"/>
          <w:sz w:val="25"/>
          <w:szCs w:val="25"/>
          <w:u w:val="single"/>
          <w:shd w:val="clear" w:color="auto" w:fill="FFFFFF"/>
        </w:rPr>
        <w:t>Id</w:t>
      </w:r>
      <w:r w:rsidRPr="001E3097">
        <w:rPr>
          <w:rFonts w:ascii="Garamond" w:eastAsia="Times New Roman" w:hAnsi="Garamond" w:cs="Times New Roman"/>
          <w:i/>
          <w:sz w:val="25"/>
          <w:szCs w:val="25"/>
          <w:u w:val="single"/>
          <w:shd w:val="clear" w:color="auto" w:fill="FFFFFF"/>
        </w:rPr>
        <w:t>.</w:t>
      </w:r>
      <w:r w:rsidRPr="001E3097">
        <w:rPr>
          <w:rFonts w:ascii="Garamond" w:eastAsia="Times New Roman" w:hAnsi="Garamond" w:cs="Times New Roman"/>
          <w:i/>
          <w:sz w:val="25"/>
          <w:szCs w:val="25"/>
          <w:shd w:val="clear" w:color="auto" w:fill="FFFFFF"/>
        </w:rPr>
        <w:t xml:space="preserve"> </w:t>
      </w:r>
      <w:r w:rsidR="00486DB5" w:rsidRPr="00486DB5">
        <w:rPr>
          <w:rFonts w:ascii="Garamond" w:eastAsia="Times New Roman" w:hAnsi="Garamond" w:cs="Times New Roman"/>
          <w:sz w:val="25"/>
          <w:szCs w:val="25"/>
          <w:shd w:val="clear" w:color="auto" w:fill="FFFFFF"/>
        </w:rPr>
        <w:t>Thus,</w:t>
      </w:r>
      <w:r w:rsidR="00486DB5">
        <w:rPr>
          <w:rFonts w:ascii="Garamond" w:eastAsia="Times New Roman" w:hAnsi="Garamond" w:cs="Times New Roman"/>
          <w:i/>
          <w:sz w:val="25"/>
          <w:szCs w:val="25"/>
          <w:shd w:val="clear" w:color="auto" w:fill="FFFFFF"/>
        </w:rPr>
        <w:t xml:space="preserve"> </w:t>
      </w:r>
      <w:r w:rsidR="00486DB5">
        <w:rPr>
          <w:rFonts w:ascii="Garamond" w:eastAsia="Times New Roman" w:hAnsi="Garamond" w:cs="Times New Roman"/>
          <w:sz w:val="25"/>
          <w:szCs w:val="25"/>
          <w:shd w:val="clear" w:color="auto" w:fill="FFFFFF"/>
        </w:rPr>
        <w:t>t</w:t>
      </w:r>
      <w:r w:rsidRPr="001E3097">
        <w:rPr>
          <w:rFonts w:ascii="Garamond" w:eastAsia="Times New Roman" w:hAnsi="Garamond" w:cs="Times New Roman"/>
          <w:sz w:val="25"/>
          <w:szCs w:val="25"/>
          <w:shd w:val="clear" w:color="auto" w:fill="FFFFFF"/>
        </w:rPr>
        <w:t xml:space="preserve">o </w:t>
      </w:r>
      <w:r w:rsidR="0013193C">
        <w:rPr>
          <w:rFonts w:ascii="Garamond" w:eastAsia="Times New Roman" w:hAnsi="Garamond" w:cs="Times New Roman"/>
          <w:sz w:val="25"/>
          <w:szCs w:val="25"/>
          <w:shd w:val="clear" w:color="auto" w:fill="FFFFFF"/>
        </w:rPr>
        <w:t>adequately promote creation of and ensure</w:t>
      </w:r>
      <w:r w:rsidRPr="001E3097">
        <w:rPr>
          <w:rFonts w:ascii="Garamond" w:eastAsia="Times New Roman" w:hAnsi="Garamond" w:cs="Times New Roman"/>
          <w:sz w:val="25"/>
          <w:szCs w:val="25"/>
          <w:shd w:val="clear" w:color="auto" w:fill="FFFFFF"/>
        </w:rPr>
        <w:t xml:space="preserve"> access to intellectual property, the writing requirement in </w:t>
      </w:r>
      <w:r w:rsidRPr="001E3097">
        <w:rPr>
          <w:rFonts w:ascii="Garamond" w:hAnsi="Garamond" w:cs="Lucida Grande"/>
          <w:color w:val="000000"/>
          <w:sz w:val="25"/>
          <w:szCs w:val="25"/>
        </w:rPr>
        <w:t xml:space="preserve">§ 101(2) </w:t>
      </w:r>
      <w:r w:rsidRPr="001E3097">
        <w:rPr>
          <w:rFonts w:ascii="Garamond" w:eastAsia="Times New Roman" w:hAnsi="Garamond" w:cs="Times New Roman"/>
          <w:sz w:val="25"/>
          <w:szCs w:val="25"/>
          <w:shd w:val="clear" w:color="auto" w:fill="FFFFFF"/>
        </w:rPr>
        <w:t>must go beyond</w:t>
      </w:r>
      <w:r w:rsidR="004B01A2" w:rsidRPr="001E3097">
        <w:rPr>
          <w:rFonts w:ascii="Garamond" w:eastAsia="Times New Roman" w:hAnsi="Garamond" w:cs="Times New Roman"/>
          <w:sz w:val="25"/>
          <w:szCs w:val="25"/>
          <w:shd w:val="clear" w:color="auto" w:fill="FFFFFF"/>
        </w:rPr>
        <w:t xml:space="preserve"> the</w:t>
      </w:r>
      <w:r w:rsidRPr="001E3097">
        <w:rPr>
          <w:rFonts w:ascii="Garamond" w:eastAsia="Times New Roman" w:hAnsi="Garamond" w:cs="Times New Roman"/>
          <w:sz w:val="25"/>
          <w:szCs w:val="25"/>
          <w:shd w:val="clear" w:color="auto" w:fill="FFFFFF"/>
        </w:rPr>
        <w:t xml:space="preserve"> statute of frauds.</w:t>
      </w:r>
      <w:r w:rsidR="002C0DCE" w:rsidRPr="001E3097">
        <w:rPr>
          <w:rFonts w:ascii="Garamond" w:eastAsia="Times New Roman" w:hAnsi="Garamond" w:cs="Times New Roman"/>
          <w:sz w:val="25"/>
          <w:szCs w:val="25"/>
          <w:shd w:val="clear" w:color="auto" w:fill="FFFFFF"/>
        </w:rPr>
        <w:t xml:space="preserve"> </w:t>
      </w:r>
      <w:r w:rsidR="0013193C" w:rsidRPr="0013193C">
        <w:rPr>
          <w:rFonts w:ascii="Garamond" w:eastAsia="Times New Roman" w:hAnsi="Garamond" w:cs="Times New Roman"/>
          <w:sz w:val="25"/>
          <w:szCs w:val="25"/>
          <w:u w:val="single"/>
          <w:shd w:val="clear" w:color="auto" w:fill="FFFFFF"/>
        </w:rPr>
        <w:t>Id</w:t>
      </w:r>
      <w:r w:rsidR="0013193C">
        <w:rPr>
          <w:rFonts w:ascii="Garamond" w:eastAsia="Times New Roman" w:hAnsi="Garamond" w:cs="Times New Roman"/>
          <w:sz w:val="25"/>
          <w:szCs w:val="25"/>
          <w:shd w:val="clear" w:color="auto" w:fill="FFFFFF"/>
        </w:rPr>
        <w:t xml:space="preserve">. </w:t>
      </w:r>
      <w:r w:rsidR="002C0DCE" w:rsidRPr="001E3097">
        <w:rPr>
          <w:rFonts w:ascii="Garamond" w:eastAsia="Times New Roman" w:hAnsi="Garamond" w:cs="Times New Roman"/>
          <w:sz w:val="25"/>
          <w:szCs w:val="25"/>
          <w:shd w:val="clear" w:color="auto" w:fill="FFFFFF"/>
        </w:rPr>
        <w:t>Judge</w:t>
      </w:r>
      <w:r w:rsidRPr="001E3097">
        <w:rPr>
          <w:rFonts w:ascii="Garamond" w:eastAsia="Times New Roman" w:hAnsi="Garamond" w:cs="Times New Roman"/>
          <w:sz w:val="25"/>
          <w:szCs w:val="25"/>
          <w:shd w:val="clear" w:color="auto" w:fill="FFFFFF"/>
        </w:rPr>
        <w:t xml:space="preserve"> Posner </w:t>
      </w:r>
      <w:r w:rsidR="00E13FA8" w:rsidRPr="001E3097">
        <w:rPr>
          <w:rFonts w:ascii="Garamond" w:eastAsia="Times New Roman" w:hAnsi="Garamond" w:cs="Times New Roman"/>
          <w:sz w:val="25"/>
          <w:szCs w:val="25"/>
          <w:shd w:val="clear" w:color="auto" w:fill="FFFFFF"/>
        </w:rPr>
        <w:t xml:space="preserve">thus held that the “writing must precede the creation of the property in order to serve its purpose of identifying the (noncreator) owner unequivocally.” </w:t>
      </w:r>
      <w:r w:rsidR="00E13FA8" w:rsidRPr="001E3097">
        <w:rPr>
          <w:rFonts w:ascii="Garamond" w:eastAsia="Times New Roman" w:hAnsi="Garamond" w:cs="Times New Roman"/>
          <w:sz w:val="25"/>
          <w:szCs w:val="25"/>
          <w:u w:val="single"/>
          <w:shd w:val="clear" w:color="auto" w:fill="FFFFFF"/>
        </w:rPr>
        <w:t>Id.</w:t>
      </w:r>
      <w:r w:rsidR="00E13FA8" w:rsidRPr="001E3097">
        <w:rPr>
          <w:rFonts w:ascii="Garamond" w:eastAsia="Times New Roman" w:hAnsi="Garamond" w:cs="Times New Roman"/>
          <w:sz w:val="25"/>
          <w:szCs w:val="25"/>
          <w:shd w:val="clear" w:color="auto" w:fill="FFFFFF"/>
        </w:rPr>
        <w:t xml:space="preserve"> at 413. </w:t>
      </w:r>
      <w:r w:rsidR="0035400F" w:rsidRPr="001E3097">
        <w:rPr>
          <w:rFonts w:ascii="Garamond" w:eastAsia="Times New Roman" w:hAnsi="Garamond" w:cs="Times New Roman"/>
          <w:sz w:val="25"/>
          <w:szCs w:val="25"/>
          <w:shd w:val="clear" w:color="auto" w:fill="FFFFFF"/>
        </w:rPr>
        <w:t xml:space="preserve">This provides the </w:t>
      </w:r>
      <w:r w:rsidR="0013193C">
        <w:rPr>
          <w:rFonts w:ascii="Garamond" w:eastAsia="Times New Roman" w:hAnsi="Garamond" w:cs="Times New Roman"/>
          <w:sz w:val="25"/>
          <w:szCs w:val="25"/>
          <w:shd w:val="clear" w:color="auto" w:fill="FFFFFF"/>
        </w:rPr>
        <w:t>greatest certainty in</w:t>
      </w:r>
      <w:r w:rsidR="0035400F" w:rsidRPr="001E3097">
        <w:rPr>
          <w:rFonts w:ascii="Garamond" w:eastAsia="Times New Roman" w:hAnsi="Garamond" w:cs="Times New Roman"/>
          <w:sz w:val="25"/>
          <w:szCs w:val="25"/>
          <w:shd w:val="clear" w:color="auto" w:fill="FFFFFF"/>
        </w:rPr>
        <w:t xml:space="preserve"> ownership rights and best effectuates the legislative intent of Congress.</w:t>
      </w:r>
    </w:p>
    <w:p w14:paraId="0A6A0FD5" w14:textId="3CE205C8" w:rsidR="0035400F" w:rsidRPr="001E3097" w:rsidRDefault="0035400F" w:rsidP="0035400F">
      <w:pPr>
        <w:spacing w:line="480" w:lineRule="auto"/>
        <w:ind w:firstLine="720"/>
        <w:rPr>
          <w:rFonts w:ascii="Garamond" w:hAnsi="Garamond" w:cs="Lucida Grande"/>
          <w:color w:val="000000"/>
          <w:sz w:val="25"/>
          <w:szCs w:val="25"/>
        </w:rPr>
      </w:pPr>
      <w:r w:rsidRPr="001E3097">
        <w:rPr>
          <w:rFonts w:ascii="Garamond" w:hAnsi="Garamond" w:cs="Lucida Grande"/>
          <w:color w:val="000000"/>
          <w:sz w:val="25"/>
          <w:szCs w:val="25"/>
        </w:rPr>
        <w:t>Allowing a retrospective work for hire agreement would create uncertainty in several ways. As the Second Circuit explained</w:t>
      </w:r>
      <w:r w:rsidR="00486DB5">
        <w:rPr>
          <w:rFonts w:ascii="Garamond" w:hAnsi="Garamond" w:cs="Lucida Grande"/>
          <w:color w:val="000000"/>
          <w:sz w:val="25"/>
          <w:szCs w:val="25"/>
        </w:rPr>
        <w:t>,</w:t>
      </w:r>
      <w:r w:rsidRPr="001E3097">
        <w:rPr>
          <w:rFonts w:ascii="Garamond" w:hAnsi="Garamond" w:cs="Lucida Grande"/>
          <w:color w:val="000000"/>
          <w:sz w:val="25"/>
          <w:szCs w:val="25"/>
        </w:rPr>
        <w:t xml:space="preserve"> but left unresolved, “[p]rior to the execution of such an agreement, the parties, as well as third-parties, would act with the understanding that the independent contractor was the ‘author’. . . Only after the parties agreed retroactively that the work was made for hire would the hiring party somehow become the ‘author’.” </w:t>
      </w:r>
      <w:r w:rsidRPr="001E3097">
        <w:rPr>
          <w:rFonts w:ascii="Garamond" w:hAnsi="Garamond" w:cs="Lucida Grande"/>
          <w:color w:val="000000"/>
          <w:sz w:val="25"/>
          <w:szCs w:val="25"/>
          <w:u w:val="single"/>
        </w:rPr>
        <w:t>Dumas</w:t>
      </w:r>
      <w:r w:rsidRPr="001E3097">
        <w:rPr>
          <w:rFonts w:ascii="Garamond" w:hAnsi="Garamond" w:cs="Lucida Grande"/>
          <w:color w:val="000000"/>
          <w:sz w:val="25"/>
          <w:szCs w:val="25"/>
        </w:rPr>
        <w:t xml:space="preserve">, 53 F.3d at 559. This makes it difficult and costly for third parties to determine with whom to negotiate for copyright licensing. </w:t>
      </w:r>
    </w:p>
    <w:p w14:paraId="59F29072" w14:textId="3B294F00" w:rsidR="0035400F" w:rsidRPr="001E3097" w:rsidRDefault="0035400F" w:rsidP="0035400F">
      <w:pPr>
        <w:spacing w:line="480" w:lineRule="auto"/>
        <w:ind w:firstLine="720"/>
        <w:rPr>
          <w:rFonts w:ascii="Garamond" w:hAnsi="Garamond"/>
          <w:color w:val="000000"/>
          <w:sz w:val="25"/>
          <w:szCs w:val="25"/>
        </w:rPr>
      </w:pPr>
      <w:r w:rsidRPr="001E3097">
        <w:rPr>
          <w:rFonts w:ascii="Garamond" w:hAnsi="Garamond" w:cs="Lucida Grande"/>
          <w:color w:val="000000"/>
          <w:sz w:val="25"/>
          <w:szCs w:val="25"/>
        </w:rPr>
        <w:t xml:space="preserve">More disturbingly, the duration of copyright will not always be clear. Prior to the signing of the written agreement, the creator of the work is the author, and copyright duration is calculated as the author’s life plus seventy years after the author’s death. </w:t>
      </w:r>
      <w:r w:rsidRPr="001E3097">
        <w:rPr>
          <w:rFonts w:ascii="Garamond" w:hAnsi="Garamond"/>
          <w:color w:val="000000"/>
          <w:sz w:val="25"/>
          <w:szCs w:val="25"/>
        </w:rPr>
        <w:t xml:space="preserve">17 U.S.C. </w:t>
      </w:r>
      <w:r w:rsidRPr="001E3097">
        <w:rPr>
          <w:rFonts w:ascii="Garamond" w:hAnsi="Garamond" w:cs="Lucida Grande"/>
          <w:color w:val="000000"/>
          <w:sz w:val="25"/>
          <w:szCs w:val="25"/>
        </w:rPr>
        <w:t xml:space="preserve">§ 302(a). However, if a work made for hire agreement is signed, then the copyright endures for ninety-five years from the year of first publication, or 120 years from the year of its creation, whichever expires first. </w:t>
      </w:r>
      <w:r w:rsidRPr="001E3097">
        <w:rPr>
          <w:rFonts w:ascii="Garamond" w:hAnsi="Garamond"/>
          <w:color w:val="000000"/>
          <w:sz w:val="25"/>
          <w:szCs w:val="25"/>
          <w:u w:val="single"/>
        </w:rPr>
        <w:t>Id.</w:t>
      </w:r>
      <w:r w:rsidRPr="001E3097">
        <w:rPr>
          <w:rFonts w:ascii="Garamond" w:hAnsi="Garamond"/>
          <w:color w:val="000000"/>
          <w:sz w:val="25"/>
          <w:szCs w:val="25"/>
        </w:rPr>
        <w:t xml:space="preserve"> It is not difficult to imagine the uncertainty and harm created when society cannot easily determine when a work passes into public domain because some time after the creation of a work, a work made for hire agreement may have been signed, changing the authorship and thus the calculation of copyright duration. </w:t>
      </w:r>
    </w:p>
    <w:p w14:paraId="18BB43A1" w14:textId="15ACD138" w:rsidR="002A4D8D" w:rsidRPr="001E3097" w:rsidRDefault="002B44B9" w:rsidP="006219D1">
      <w:pPr>
        <w:spacing w:line="480" w:lineRule="auto"/>
        <w:rPr>
          <w:rFonts w:ascii="Garamond" w:hAnsi="Garamond" w:cs="Lucida Grande"/>
          <w:color w:val="000000"/>
          <w:sz w:val="25"/>
          <w:szCs w:val="25"/>
        </w:rPr>
      </w:pPr>
      <w:r w:rsidRPr="001E3097">
        <w:rPr>
          <w:rFonts w:ascii="Garamond" w:eastAsia="Times New Roman" w:hAnsi="Garamond" w:cs="Times New Roman"/>
          <w:sz w:val="25"/>
          <w:szCs w:val="25"/>
          <w:shd w:val="clear" w:color="auto" w:fill="FFFFFF"/>
        </w:rPr>
        <w:tab/>
        <w:t xml:space="preserve">The </w:t>
      </w:r>
      <w:r w:rsidR="002A2FD2" w:rsidRPr="001E3097">
        <w:rPr>
          <w:rFonts w:ascii="Garamond" w:eastAsia="Times New Roman" w:hAnsi="Garamond" w:cs="Times New Roman"/>
          <w:sz w:val="25"/>
          <w:szCs w:val="25"/>
          <w:shd w:val="clear" w:color="auto" w:fill="FFFFFF"/>
        </w:rPr>
        <w:t>Seco</w:t>
      </w:r>
      <w:r w:rsidR="003115D6">
        <w:rPr>
          <w:rFonts w:ascii="Garamond" w:eastAsia="Times New Roman" w:hAnsi="Garamond" w:cs="Times New Roman"/>
          <w:sz w:val="25"/>
          <w:szCs w:val="25"/>
          <w:shd w:val="clear" w:color="auto" w:fill="FFFFFF"/>
        </w:rPr>
        <w:t>nd Circuit, nonetheless, opposed</w:t>
      </w:r>
      <w:r w:rsidR="002A2FD2" w:rsidRPr="001E3097">
        <w:rPr>
          <w:rFonts w:ascii="Garamond" w:eastAsia="Times New Roman" w:hAnsi="Garamond" w:cs="Times New Roman"/>
          <w:sz w:val="25"/>
          <w:szCs w:val="25"/>
          <w:shd w:val="clear" w:color="auto" w:fill="FFFFFF"/>
        </w:rPr>
        <w:t xml:space="preserve"> the </w:t>
      </w:r>
      <w:r w:rsidRPr="001E3097">
        <w:rPr>
          <w:rFonts w:ascii="Garamond" w:eastAsia="Times New Roman" w:hAnsi="Garamond" w:cs="Times New Roman"/>
          <w:sz w:val="25"/>
          <w:szCs w:val="25"/>
          <w:shd w:val="clear" w:color="auto" w:fill="FFFFFF"/>
        </w:rPr>
        <w:t xml:space="preserve">Seventh Circuit’s bright line rule requiring prior written agreement. </w:t>
      </w:r>
      <w:r w:rsidR="002A2FD2" w:rsidRPr="001E3097">
        <w:rPr>
          <w:rFonts w:ascii="Garamond" w:eastAsia="Times New Roman" w:hAnsi="Garamond" w:cs="Times New Roman"/>
          <w:sz w:val="25"/>
          <w:szCs w:val="25"/>
          <w:shd w:val="clear" w:color="auto" w:fill="FFFFFF"/>
        </w:rPr>
        <w:t xml:space="preserve">In </w:t>
      </w:r>
      <w:r w:rsidRPr="001E3097">
        <w:rPr>
          <w:rFonts w:ascii="Garamond" w:eastAsia="Times New Roman" w:hAnsi="Garamond" w:cs="Times New Roman"/>
          <w:sz w:val="25"/>
          <w:szCs w:val="25"/>
          <w:u w:val="single"/>
          <w:shd w:val="clear" w:color="auto" w:fill="FFFFFF"/>
        </w:rPr>
        <w:t>Dumas</w:t>
      </w:r>
      <w:r w:rsidRPr="001E3097">
        <w:rPr>
          <w:rFonts w:ascii="Garamond" w:eastAsia="Times New Roman" w:hAnsi="Garamond" w:cs="Times New Roman"/>
          <w:sz w:val="25"/>
          <w:szCs w:val="25"/>
          <w:shd w:val="clear" w:color="auto" w:fill="FFFFFF"/>
        </w:rPr>
        <w:t xml:space="preserve"> </w:t>
      </w:r>
      <w:r w:rsidR="002A2FD2" w:rsidRPr="001E3097">
        <w:rPr>
          <w:rFonts w:ascii="Garamond" w:eastAsia="Times New Roman" w:hAnsi="Garamond" w:cs="Times New Roman"/>
          <w:sz w:val="25"/>
          <w:szCs w:val="25"/>
          <w:shd w:val="clear" w:color="auto" w:fill="FFFFFF"/>
        </w:rPr>
        <w:t xml:space="preserve">that court </w:t>
      </w:r>
      <w:r w:rsidRPr="001E3097">
        <w:rPr>
          <w:rFonts w:ascii="Garamond" w:eastAsia="Times New Roman" w:hAnsi="Garamond" w:cs="Times New Roman"/>
          <w:sz w:val="25"/>
          <w:szCs w:val="25"/>
          <w:shd w:val="clear" w:color="auto" w:fill="FFFFFF"/>
        </w:rPr>
        <w:t xml:space="preserve">found a work for hire agreement had been properly executed even when the agreement had not preceded the creation of the work, because there was evidence of a prior agreement. </w:t>
      </w:r>
      <w:r w:rsidRPr="001E3097">
        <w:rPr>
          <w:rFonts w:ascii="Garamond" w:hAnsi="Garamond" w:cs="Lucida Grande"/>
          <w:color w:val="000000"/>
          <w:sz w:val="25"/>
          <w:szCs w:val="25"/>
        </w:rPr>
        <w:t xml:space="preserve">53 F.3d </w:t>
      </w:r>
      <w:r w:rsidR="002A2FD2" w:rsidRPr="001E3097">
        <w:rPr>
          <w:rFonts w:ascii="Garamond" w:hAnsi="Garamond" w:cs="Lucida Grande"/>
          <w:color w:val="000000"/>
          <w:sz w:val="25"/>
          <w:szCs w:val="25"/>
        </w:rPr>
        <w:t>at 559. T</w:t>
      </w:r>
      <w:r w:rsidR="003115D6">
        <w:rPr>
          <w:rFonts w:ascii="Garamond" w:hAnsi="Garamond" w:cs="Lucida Grande"/>
          <w:color w:val="000000"/>
          <w:sz w:val="25"/>
          <w:szCs w:val="25"/>
        </w:rPr>
        <w:t>he Second Circuit agreed</w:t>
      </w:r>
      <w:r w:rsidRPr="001E3097">
        <w:rPr>
          <w:rFonts w:ascii="Garamond" w:hAnsi="Garamond" w:cs="Lucida Grande"/>
          <w:color w:val="000000"/>
          <w:sz w:val="25"/>
          <w:szCs w:val="25"/>
        </w:rPr>
        <w:t xml:space="preserve"> with the Seventh Circuit that “the writing requirement was created, in part, to make the ownership of intellectual property rights clear and definite”, </w:t>
      </w:r>
      <w:r w:rsidR="002A4D8D" w:rsidRPr="001E3097">
        <w:rPr>
          <w:rFonts w:ascii="Garamond" w:hAnsi="Garamond" w:cs="Lucida Grande"/>
          <w:color w:val="000000"/>
          <w:sz w:val="25"/>
          <w:szCs w:val="25"/>
          <w:u w:val="single"/>
        </w:rPr>
        <w:t>i</w:t>
      </w:r>
      <w:r w:rsidRPr="001E3097">
        <w:rPr>
          <w:rFonts w:ascii="Garamond" w:hAnsi="Garamond" w:cs="Lucida Grande"/>
          <w:color w:val="000000"/>
          <w:sz w:val="25"/>
          <w:szCs w:val="25"/>
          <w:u w:val="single"/>
        </w:rPr>
        <w:t>d.</w:t>
      </w:r>
      <w:r w:rsidRPr="001E3097">
        <w:rPr>
          <w:rFonts w:ascii="Garamond" w:hAnsi="Garamond" w:cs="Lucida Grande"/>
          <w:color w:val="000000"/>
          <w:sz w:val="25"/>
          <w:szCs w:val="25"/>
        </w:rPr>
        <w:t xml:space="preserve">, and that “Congress’ goal of predictability would be </w:t>
      </w:r>
      <w:r w:rsidR="002A4D8D" w:rsidRPr="001E3097">
        <w:rPr>
          <w:rFonts w:ascii="Garamond" w:hAnsi="Garamond" w:cs="Lucida Grande"/>
          <w:color w:val="000000"/>
          <w:sz w:val="25"/>
          <w:szCs w:val="25"/>
        </w:rPr>
        <w:t xml:space="preserve">thwarted if a hiring party and an independent contractor could enter into a work-for-hire agreement years after a work was created”, </w:t>
      </w:r>
      <w:r w:rsidR="002A4D8D" w:rsidRPr="001E3097">
        <w:rPr>
          <w:rFonts w:ascii="Garamond" w:hAnsi="Garamond" w:cs="Lucida Grande"/>
          <w:color w:val="000000"/>
          <w:sz w:val="25"/>
          <w:szCs w:val="25"/>
          <w:u w:val="single"/>
        </w:rPr>
        <w:t>id.</w:t>
      </w:r>
      <w:r w:rsidR="002A2FD2" w:rsidRPr="001E3097">
        <w:rPr>
          <w:rFonts w:ascii="Garamond" w:hAnsi="Garamond" w:cs="Lucida Grande"/>
          <w:color w:val="000000"/>
          <w:sz w:val="25"/>
          <w:szCs w:val="25"/>
        </w:rPr>
        <w:t xml:space="preserve"> </w:t>
      </w:r>
      <w:r w:rsidR="00C64246" w:rsidRPr="001E3097">
        <w:rPr>
          <w:rFonts w:ascii="Garamond" w:hAnsi="Garamond" w:cs="Lucida Grande"/>
          <w:color w:val="000000"/>
          <w:sz w:val="25"/>
          <w:szCs w:val="25"/>
        </w:rPr>
        <w:t>Yet d</w:t>
      </w:r>
      <w:r w:rsidR="00CB4D75" w:rsidRPr="001E3097">
        <w:rPr>
          <w:rFonts w:ascii="Garamond" w:hAnsi="Garamond" w:cs="Lucida Grande"/>
          <w:color w:val="000000"/>
          <w:sz w:val="25"/>
          <w:szCs w:val="25"/>
        </w:rPr>
        <w:t>espite conceding</w:t>
      </w:r>
      <w:r w:rsidR="001D0C14" w:rsidRPr="001E3097">
        <w:rPr>
          <w:rFonts w:ascii="Garamond" w:hAnsi="Garamond" w:cs="Lucida Grande"/>
          <w:color w:val="000000"/>
          <w:sz w:val="25"/>
          <w:szCs w:val="25"/>
        </w:rPr>
        <w:t xml:space="preserve"> that</w:t>
      </w:r>
      <w:r w:rsidR="00CB4D75" w:rsidRPr="001E3097">
        <w:rPr>
          <w:rFonts w:ascii="Garamond" w:hAnsi="Garamond" w:cs="Lucida Grande"/>
          <w:color w:val="000000"/>
          <w:sz w:val="25"/>
          <w:szCs w:val="25"/>
        </w:rPr>
        <w:t xml:space="preserve"> Congress’ intent </w:t>
      </w:r>
      <w:r w:rsidR="00C64246" w:rsidRPr="001E3097">
        <w:rPr>
          <w:rFonts w:ascii="Garamond" w:hAnsi="Garamond" w:cs="Lucida Grande"/>
          <w:color w:val="000000"/>
          <w:sz w:val="25"/>
          <w:szCs w:val="25"/>
        </w:rPr>
        <w:t>surpassed one of</w:t>
      </w:r>
      <w:r w:rsidR="001D0C14" w:rsidRPr="001E3097">
        <w:rPr>
          <w:rFonts w:ascii="Garamond" w:hAnsi="Garamond" w:cs="Lucida Grande"/>
          <w:color w:val="000000"/>
          <w:sz w:val="25"/>
          <w:szCs w:val="25"/>
        </w:rPr>
        <w:t xml:space="preserve"> simply</w:t>
      </w:r>
      <w:r w:rsidR="00CB4D75" w:rsidRPr="001E3097">
        <w:rPr>
          <w:rFonts w:ascii="Garamond" w:hAnsi="Garamond" w:cs="Lucida Grande"/>
          <w:color w:val="000000"/>
          <w:sz w:val="25"/>
          <w:szCs w:val="25"/>
        </w:rPr>
        <w:t xml:space="preserve"> preventing fraud</w:t>
      </w:r>
      <w:r w:rsidR="002A2FD2" w:rsidRPr="001E3097">
        <w:rPr>
          <w:rFonts w:ascii="Garamond" w:hAnsi="Garamond" w:cs="Lucida Grande"/>
          <w:color w:val="000000"/>
          <w:sz w:val="25"/>
          <w:szCs w:val="25"/>
        </w:rPr>
        <w:t xml:space="preserve">, the </w:t>
      </w:r>
      <w:r w:rsidR="002A2FD2" w:rsidRPr="001E3097">
        <w:rPr>
          <w:rFonts w:ascii="Garamond" w:hAnsi="Garamond" w:cs="Lucida Grande"/>
          <w:color w:val="000000"/>
          <w:sz w:val="25"/>
          <w:szCs w:val="25"/>
          <w:u w:val="single"/>
        </w:rPr>
        <w:t>Dumas</w:t>
      </w:r>
      <w:r w:rsidR="002A2FD2" w:rsidRPr="001E3097">
        <w:rPr>
          <w:rFonts w:ascii="Garamond" w:hAnsi="Garamond" w:cs="Lucida Grande"/>
          <w:color w:val="000000"/>
          <w:sz w:val="25"/>
          <w:szCs w:val="25"/>
        </w:rPr>
        <w:t xml:space="preserve"> court</w:t>
      </w:r>
      <w:r w:rsidR="002A4D8D" w:rsidRPr="001E3097">
        <w:rPr>
          <w:rFonts w:ascii="Garamond" w:hAnsi="Garamond" w:cs="Lucida Grande"/>
          <w:color w:val="000000"/>
          <w:sz w:val="25"/>
          <w:szCs w:val="25"/>
        </w:rPr>
        <w:t xml:space="preserve"> </w:t>
      </w:r>
      <w:r w:rsidR="007A7B8B">
        <w:rPr>
          <w:rFonts w:ascii="Garamond" w:hAnsi="Garamond" w:cs="Lucida Grande"/>
          <w:color w:val="000000"/>
          <w:sz w:val="25"/>
          <w:szCs w:val="25"/>
        </w:rPr>
        <w:t>interpreted</w:t>
      </w:r>
      <w:r w:rsidR="00CB4D75" w:rsidRPr="001E3097">
        <w:rPr>
          <w:rFonts w:ascii="Garamond" w:hAnsi="Garamond" w:cs="Lucida Grande"/>
          <w:color w:val="000000"/>
          <w:sz w:val="25"/>
          <w:szCs w:val="25"/>
        </w:rPr>
        <w:t xml:space="preserve"> the writing requirement to be no stronger than a traditional statute of frauds, where a post-execution </w:t>
      </w:r>
      <w:r w:rsidR="001D0C14" w:rsidRPr="001E3097">
        <w:rPr>
          <w:rFonts w:ascii="Garamond" w:hAnsi="Garamond" w:cs="Lucida Grande"/>
          <w:color w:val="000000"/>
          <w:sz w:val="25"/>
          <w:szCs w:val="25"/>
        </w:rPr>
        <w:t>memorialization</w:t>
      </w:r>
      <w:r w:rsidR="00CB4D75" w:rsidRPr="001E3097">
        <w:rPr>
          <w:rFonts w:ascii="Garamond" w:hAnsi="Garamond" w:cs="Lucida Grande"/>
          <w:color w:val="000000"/>
          <w:sz w:val="25"/>
          <w:szCs w:val="25"/>
        </w:rPr>
        <w:t xml:space="preserve"> is permissible</w:t>
      </w:r>
      <w:r w:rsidR="001D0C14" w:rsidRPr="001E3097">
        <w:rPr>
          <w:rFonts w:ascii="Garamond" w:hAnsi="Garamond" w:cs="Lucida Grande"/>
          <w:color w:val="000000"/>
          <w:sz w:val="25"/>
          <w:szCs w:val="25"/>
        </w:rPr>
        <w:t xml:space="preserve"> if there is</w:t>
      </w:r>
      <w:r w:rsidR="00CB4D75" w:rsidRPr="001E3097">
        <w:rPr>
          <w:rFonts w:ascii="Garamond" w:hAnsi="Garamond" w:cs="Lucida Grande"/>
          <w:color w:val="000000"/>
          <w:sz w:val="25"/>
          <w:szCs w:val="25"/>
        </w:rPr>
        <w:t xml:space="preserve"> a prior agreement. </w:t>
      </w:r>
    </w:p>
    <w:p w14:paraId="234F8A3A" w14:textId="329260F2" w:rsidR="008E1D30" w:rsidRPr="001E3097" w:rsidRDefault="002A4D8D" w:rsidP="00C64246">
      <w:pPr>
        <w:spacing w:line="480" w:lineRule="auto"/>
        <w:ind w:firstLine="720"/>
        <w:rPr>
          <w:rFonts w:ascii="Garamond" w:hAnsi="Garamond" w:cs="Lucida Grande"/>
          <w:color w:val="000000"/>
          <w:sz w:val="25"/>
          <w:szCs w:val="25"/>
        </w:rPr>
      </w:pPr>
      <w:r w:rsidRPr="001E3097">
        <w:rPr>
          <w:rFonts w:ascii="Garamond" w:hAnsi="Garamond" w:cs="Lucida Grande"/>
          <w:color w:val="000000"/>
          <w:sz w:val="25"/>
          <w:szCs w:val="25"/>
        </w:rPr>
        <w:t xml:space="preserve">The </w:t>
      </w:r>
      <w:r w:rsidRPr="001E3097">
        <w:rPr>
          <w:rFonts w:ascii="Garamond" w:hAnsi="Garamond" w:cs="Lucida Grande"/>
          <w:color w:val="000000"/>
          <w:sz w:val="25"/>
          <w:szCs w:val="25"/>
          <w:u w:val="single"/>
        </w:rPr>
        <w:t>Dumas</w:t>
      </w:r>
      <w:r w:rsidRPr="001E3097">
        <w:rPr>
          <w:rFonts w:ascii="Garamond" w:hAnsi="Garamond" w:cs="Lucida Grande"/>
          <w:color w:val="000000"/>
          <w:sz w:val="25"/>
          <w:szCs w:val="25"/>
        </w:rPr>
        <w:t xml:space="preserve"> court </w:t>
      </w:r>
      <w:r w:rsidR="00CB4D75" w:rsidRPr="001E3097">
        <w:rPr>
          <w:rFonts w:ascii="Garamond" w:hAnsi="Garamond" w:cs="Lucida Grande"/>
          <w:color w:val="000000"/>
          <w:sz w:val="25"/>
          <w:szCs w:val="25"/>
        </w:rPr>
        <w:t xml:space="preserve">also </w:t>
      </w:r>
      <w:r w:rsidR="00A04C9E">
        <w:rPr>
          <w:rFonts w:ascii="Garamond" w:hAnsi="Garamond" w:cs="Lucida Grande"/>
          <w:color w:val="000000"/>
          <w:sz w:val="25"/>
          <w:szCs w:val="25"/>
        </w:rPr>
        <w:t xml:space="preserve">hypothesized </w:t>
      </w:r>
      <w:r w:rsidRPr="001E3097">
        <w:rPr>
          <w:rFonts w:ascii="Garamond" w:hAnsi="Garamond" w:cs="Lucida Grande"/>
          <w:color w:val="000000"/>
          <w:sz w:val="25"/>
          <w:szCs w:val="25"/>
        </w:rPr>
        <w:t xml:space="preserve">that a party might rely on knowledge of unanimous intent to predict authorship, notwithstanding the absence of a written agreement as required by the Copyright Act. </w:t>
      </w:r>
      <w:r w:rsidRPr="001E3097">
        <w:rPr>
          <w:rFonts w:ascii="Garamond" w:hAnsi="Garamond" w:cs="Lucida Grande"/>
          <w:color w:val="000000"/>
          <w:sz w:val="25"/>
          <w:szCs w:val="25"/>
          <w:u w:val="single"/>
        </w:rPr>
        <w:t>Id.</w:t>
      </w:r>
      <w:r w:rsidRPr="001E3097">
        <w:rPr>
          <w:rFonts w:ascii="Garamond" w:hAnsi="Garamond" w:cs="Lucida Grande"/>
          <w:color w:val="000000"/>
          <w:sz w:val="25"/>
          <w:szCs w:val="25"/>
        </w:rPr>
        <w:t xml:space="preserve"> (citing 1 </w:t>
      </w:r>
      <w:r w:rsidRPr="001E3097">
        <w:rPr>
          <w:rFonts w:ascii="Garamond" w:hAnsi="Garamond" w:cs="Lucida Grande"/>
          <w:color w:val="000000"/>
          <w:sz w:val="25"/>
          <w:szCs w:val="25"/>
          <w:u w:val="single"/>
        </w:rPr>
        <w:t>Nimmer on Copyright</w:t>
      </w:r>
      <w:r w:rsidR="00373C86" w:rsidRPr="001E3097">
        <w:rPr>
          <w:rFonts w:ascii="Garamond" w:hAnsi="Garamond" w:cs="Lucida Grande"/>
          <w:color w:val="000000"/>
          <w:sz w:val="25"/>
          <w:szCs w:val="25"/>
        </w:rPr>
        <w:t xml:space="preserve"> </w:t>
      </w:r>
      <w:r w:rsidRPr="001E3097">
        <w:rPr>
          <w:rFonts w:ascii="Garamond" w:hAnsi="Garamond" w:cs="Lucida Grande"/>
          <w:color w:val="000000"/>
          <w:sz w:val="25"/>
          <w:szCs w:val="25"/>
        </w:rPr>
        <w:t>§ 5.03[B][2][b] (1994)</w:t>
      </w:r>
      <w:r w:rsidR="00373C86" w:rsidRPr="001E3097">
        <w:rPr>
          <w:rFonts w:ascii="Garamond" w:hAnsi="Garamond" w:cs="Lucida Grande"/>
          <w:color w:val="000000"/>
          <w:sz w:val="25"/>
          <w:szCs w:val="25"/>
        </w:rPr>
        <w:t>)</w:t>
      </w:r>
      <w:r w:rsidRPr="001E3097">
        <w:rPr>
          <w:rFonts w:ascii="Garamond" w:hAnsi="Garamond" w:cs="Lucida Grande"/>
          <w:color w:val="000000"/>
          <w:sz w:val="25"/>
          <w:szCs w:val="25"/>
        </w:rPr>
        <w:t xml:space="preserve">. </w:t>
      </w:r>
      <w:r w:rsidR="00373C86" w:rsidRPr="001E3097">
        <w:rPr>
          <w:rFonts w:ascii="Garamond" w:hAnsi="Garamond" w:cs="Lucida Grande"/>
          <w:color w:val="000000"/>
          <w:sz w:val="25"/>
          <w:szCs w:val="25"/>
        </w:rPr>
        <w:t xml:space="preserve">Neither </w:t>
      </w:r>
      <w:r w:rsidR="00373C86" w:rsidRPr="001E3097">
        <w:rPr>
          <w:rFonts w:ascii="Garamond" w:hAnsi="Garamond" w:cs="Lucida Grande"/>
          <w:color w:val="000000"/>
          <w:sz w:val="25"/>
          <w:szCs w:val="25"/>
          <w:u w:val="single"/>
        </w:rPr>
        <w:t>Nimmer</w:t>
      </w:r>
      <w:r w:rsidR="00373C86" w:rsidRPr="001E3097">
        <w:rPr>
          <w:rFonts w:ascii="Garamond" w:hAnsi="Garamond" w:cs="Lucida Grande"/>
          <w:color w:val="000000"/>
          <w:sz w:val="25"/>
          <w:szCs w:val="25"/>
        </w:rPr>
        <w:t xml:space="preserve"> nor the court</w:t>
      </w:r>
      <w:r w:rsidR="00996522" w:rsidRPr="001E3097">
        <w:rPr>
          <w:rFonts w:ascii="Garamond" w:hAnsi="Garamond" w:cs="Lucida Grande"/>
          <w:color w:val="000000"/>
          <w:sz w:val="25"/>
          <w:szCs w:val="25"/>
        </w:rPr>
        <w:t>, however,</w:t>
      </w:r>
      <w:r w:rsidR="00373C86" w:rsidRPr="001E3097">
        <w:rPr>
          <w:rFonts w:ascii="Garamond" w:hAnsi="Garamond" w:cs="Lucida Grande"/>
          <w:color w:val="000000"/>
          <w:sz w:val="25"/>
          <w:szCs w:val="25"/>
        </w:rPr>
        <w:t xml:space="preserve"> explains why this easily rectified confusion </w:t>
      </w:r>
      <w:r w:rsidR="00FA3A8C">
        <w:rPr>
          <w:rFonts w:ascii="Garamond" w:hAnsi="Garamond" w:cs="Lucida Grande"/>
          <w:color w:val="000000"/>
          <w:sz w:val="25"/>
          <w:szCs w:val="25"/>
        </w:rPr>
        <w:t>is not outweighed</w:t>
      </w:r>
      <w:r w:rsidR="00373C86" w:rsidRPr="001E3097">
        <w:rPr>
          <w:rFonts w:ascii="Garamond" w:hAnsi="Garamond" w:cs="Lucida Grande"/>
          <w:color w:val="000000"/>
          <w:sz w:val="25"/>
          <w:szCs w:val="25"/>
        </w:rPr>
        <w:t xml:space="preserve"> </w:t>
      </w:r>
      <w:r w:rsidR="00FA3A8C">
        <w:rPr>
          <w:rFonts w:ascii="Garamond" w:hAnsi="Garamond" w:cs="Lucida Grande"/>
          <w:color w:val="000000"/>
          <w:sz w:val="25"/>
          <w:szCs w:val="25"/>
        </w:rPr>
        <w:t xml:space="preserve">or at least balanced by </w:t>
      </w:r>
      <w:r w:rsidR="00373C86" w:rsidRPr="001E3097">
        <w:rPr>
          <w:rFonts w:ascii="Garamond" w:hAnsi="Garamond" w:cs="Lucida Grande"/>
          <w:color w:val="000000"/>
          <w:sz w:val="25"/>
          <w:szCs w:val="25"/>
        </w:rPr>
        <w:t xml:space="preserve">the confusion caused by </w:t>
      </w:r>
      <w:r w:rsidR="00A04C9E">
        <w:rPr>
          <w:rFonts w:ascii="Garamond" w:hAnsi="Garamond" w:cs="Lucida Grande"/>
          <w:color w:val="000000"/>
          <w:sz w:val="25"/>
          <w:szCs w:val="25"/>
        </w:rPr>
        <w:t>a</w:t>
      </w:r>
      <w:r w:rsidR="00373C86" w:rsidRPr="001E3097">
        <w:rPr>
          <w:rFonts w:ascii="Garamond" w:hAnsi="Garamond" w:cs="Lucida Grande"/>
          <w:color w:val="000000"/>
          <w:sz w:val="25"/>
          <w:szCs w:val="25"/>
        </w:rPr>
        <w:t xml:space="preserve"> prior </w:t>
      </w:r>
      <w:r w:rsidR="001D0C14" w:rsidRPr="001E3097">
        <w:rPr>
          <w:rFonts w:ascii="Garamond" w:hAnsi="Garamond" w:cs="Lucida Grande"/>
          <w:color w:val="000000"/>
          <w:sz w:val="25"/>
          <w:szCs w:val="25"/>
        </w:rPr>
        <w:t>hypothetical</w:t>
      </w:r>
      <w:r w:rsidR="00373C86" w:rsidRPr="001E3097">
        <w:rPr>
          <w:rFonts w:ascii="Garamond" w:hAnsi="Garamond" w:cs="Lucida Grande"/>
          <w:color w:val="000000"/>
          <w:sz w:val="25"/>
          <w:szCs w:val="25"/>
        </w:rPr>
        <w:t xml:space="preserve"> “in which third parties would be unfairly surprised by after-the-fact declarations</w:t>
      </w:r>
      <w:r w:rsidR="00CB4D75" w:rsidRPr="001E3097">
        <w:rPr>
          <w:rFonts w:ascii="Garamond" w:hAnsi="Garamond" w:cs="Lucida Grande"/>
          <w:color w:val="000000"/>
          <w:sz w:val="25"/>
          <w:szCs w:val="25"/>
        </w:rPr>
        <w:t xml:space="preserve"> of work for hire status. . .” </w:t>
      </w:r>
      <w:r w:rsidR="00CB4D75" w:rsidRPr="001E3097">
        <w:rPr>
          <w:rFonts w:ascii="Garamond" w:hAnsi="Garamond" w:cs="Lucida Grande"/>
          <w:color w:val="000000"/>
          <w:sz w:val="25"/>
          <w:szCs w:val="25"/>
          <w:u w:val="single"/>
        </w:rPr>
        <w:t>Id</w:t>
      </w:r>
      <w:r w:rsidR="00373C86" w:rsidRPr="001E3097">
        <w:rPr>
          <w:rFonts w:ascii="Garamond" w:hAnsi="Garamond" w:cs="Lucida Grande"/>
          <w:color w:val="000000"/>
          <w:sz w:val="25"/>
          <w:szCs w:val="25"/>
        </w:rPr>
        <w:t xml:space="preserve">. </w:t>
      </w:r>
      <w:r w:rsidR="001D0C14" w:rsidRPr="001E3097">
        <w:rPr>
          <w:rFonts w:ascii="Garamond" w:hAnsi="Garamond" w:cs="Lucida Grande"/>
          <w:color w:val="000000"/>
          <w:sz w:val="25"/>
          <w:szCs w:val="25"/>
        </w:rPr>
        <w:t>Some</w:t>
      </w:r>
      <w:r w:rsidR="00373C86" w:rsidRPr="001E3097">
        <w:rPr>
          <w:rFonts w:ascii="Garamond" w:hAnsi="Garamond" w:cs="Lucida Grande"/>
          <w:color w:val="000000"/>
          <w:sz w:val="25"/>
          <w:szCs w:val="25"/>
        </w:rPr>
        <w:t xml:space="preserve"> district courts have followed the Second Circuit’s rule</w:t>
      </w:r>
      <w:r w:rsidR="00D81C11">
        <w:rPr>
          <w:rFonts w:ascii="Garamond" w:hAnsi="Garamond" w:cs="Lucida Grande"/>
          <w:color w:val="000000"/>
          <w:sz w:val="25"/>
          <w:szCs w:val="25"/>
        </w:rPr>
        <w:t xml:space="preserve"> in </w:t>
      </w:r>
      <w:r w:rsidR="00D81C11" w:rsidRPr="00D81C11">
        <w:rPr>
          <w:rFonts w:ascii="Garamond" w:hAnsi="Garamond" w:cs="Lucida Grande"/>
          <w:color w:val="000000"/>
          <w:sz w:val="25"/>
          <w:szCs w:val="25"/>
          <w:u w:val="single"/>
        </w:rPr>
        <w:t>Dumas</w:t>
      </w:r>
      <w:r w:rsidR="00373C86" w:rsidRPr="001E3097">
        <w:rPr>
          <w:rFonts w:ascii="Garamond" w:hAnsi="Garamond" w:cs="Lucida Grande"/>
          <w:color w:val="000000"/>
          <w:sz w:val="25"/>
          <w:szCs w:val="25"/>
        </w:rPr>
        <w:t xml:space="preserve">, </w:t>
      </w:r>
      <w:r w:rsidR="001D0C14" w:rsidRPr="001E3097">
        <w:rPr>
          <w:rFonts w:ascii="Garamond" w:hAnsi="Garamond" w:cs="Lucida Grande"/>
          <w:color w:val="000000"/>
          <w:sz w:val="25"/>
          <w:szCs w:val="25"/>
        </w:rPr>
        <w:t xml:space="preserve">asserting that it is the </w:t>
      </w:r>
      <w:r w:rsidR="001D0C14" w:rsidRPr="001E3097">
        <w:rPr>
          <w:rFonts w:ascii="Garamond" w:hAnsi="Garamond" w:cs="Lucida Grande"/>
          <w:i/>
          <w:color w:val="000000"/>
          <w:sz w:val="25"/>
          <w:szCs w:val="25"/>
        </w:rPr>
        <w:t>de facto</w:t>
      </w:r>
      <w:r w:rsidR="001D0C14" w:rsidRPr="001E3097">
        <w:rPr>
          <w:rFonts w:ascii="Garamond" w:hAnsi="Garamond" w:cs="Lucida Grande"/>
          <w:color w:val="000000"/>
          <w:sz w:val="25"/>
          <w:szCs w:val="25"/>
        </w:rPr>
        <w:t xml:space="preserve"> Copy</w:t>
      </w:r>
      <w:r w:rsidR="009F5C15" w:rsidRPr="001E3097">
        <w:rPr>
          <w:rFonts w:ascii="Garamond" w:hAnsi="Garamond" w:cs="Lucida Grande"/>
          <w:color w:val="000000"/>
          <w:sz w:val="25"/>
          <w:szCs w:val="25"/>
        </w:rPr>
        <w:t>right Court</w:t>
      </w:r>
      <w:r w:rsidR="00B5678F" w:rsidRPr="001E3097">
        <w:rPr>
          <w:rStyle w:val="FootnoteReference"/>
          <w:rFonts w:ascii="Garamond" w:hAnsi="Garamond" w:cs="Lucida Grande"/>
          <w:color w:val="000000"/>
          <w:sz w:val="25"/>
          <w:szCs w:val="25"/>
        </w:rPr>
        <w:footnoteReference w:id="2"/>
      </w:r>
      <w:r w:rsidR="009F5C15" w:rsidRPr="001E3097">
        <w:rPr>
          <w:rFonts w:ascii="Garamond" w:hAnsi="Garamond" w:cs="Lucida Grande"/>
          <w:color w:val="000000"/>
          <w:sz w:val="25"/>
          <w:szCs w:val="25"/>
        </w:rPr>
        <w:t>. Such reliance</w:t>
      </w:r>
      <w:r w:rsidR="00C64246" w:rsidRPr="001E3097">
        <w:rPr>
          <w:rFonts w:ascii="Garamond" w:hAnsi="Garamond" w:cs="Lucida Grande"/>
          <w:color w:val="000000"/>
          <w:sz w:val="25"/>
          <w:szCs w:val="25"/>
        </w:rPr>
        <w:t xml:space="preserve"> </w:t>
      </w:r>
      <w:r w:rsidR="009F5C15" w:rsidRPr="001E3097">
        <w:rPr>
          <w:rFonts w:ascii="Garamond" w:hAnsi="Garamond" w:cs="Lucida Grande"/>
          <w:color w:val="000000"/>
          <w:sz w:val="25"/>
          <w:szCs w:val="25"/>
        </w:rPr>
        <w:t>overlooks the plain language and structural reasons for mandating a pre-creation writing.</w:t>
      </w:r>
      <w:r w:rsidR="007A7B8B">
        <w:rPr>
          <w:rFonts w:ascii="Garamond" w:hAnsi="Garamond" w:cs="Lucida Grande"/>
          <w:color w:val="000000"/>
          <w:sz w:val="25"/>
          <w:szCs w:val="25"/>
        </w:rPr>
        <w:t xml:space="preserve"> </w:t>
      </w:r>
      <w:r w:rsidR="009F5C15" w:rsidRPr="001E3097">
        <w:rPr>
          <w:rFonts w:ascii="Garamond" w:hAnsi="Garamond" w:cs="Lucida Grande"/>
          <w:color w:val="000000"/>
          <w:sz w:val="25"/>
          <w:szCs w:val="25"/>
        </w:rPr>
        <w:t>Additionally, t</w:t>
      </w:r>
      <w:r w:rsidR="00373C86" w:rsidRPr="001E3097">
        <w:rPr>
          <w:rFonts w:ascii="Garamond" w:hAnsi="Garamond" w:cs="Lucida Grande"/>
          <w:color w:val="000000"/>
          <w:sz w:val="25"/>
          <w:szCs w:val="25"/>
        </w:rPr>
        <w:t xml:space="preserve">his Court </w:t>
      </w:r>
      <w:r w:rsidR="009F5C15" w:rsidRPr="001E3097">
        <w:rPr>
          <w:rFonts w:ascii="Garamond" w:hAnsi="Garamond" w:cs="Lucida Grande"/>
          <w:color w:val="000000"/>
          <w:sz w:val="25"/>
          <w:szCs w:val="25"/>
        </w:rPr>
        <w:t>should interpret the legislative intent as properly espoused</w:t>
      </w:r>
      <w:r w:rsidR="00373C86" w:rsidRPr="001E3097">
        <w:rPr>
          <w:rFonts w:ascii="Garamond" w:hAnsi="Garamond" w:cs="Lucida Grande"/>
          <w:color w:val="000000"/>
          <w:sz w:val="25"/>
          <w:szCs w:val="25"/>
        </w:rPr>
        <w:t xml:space="preserve"> </w:t>
      </w:r>
      <w:r w:rsidR="00486DB5">
        <w:rPr>
          <w:rFonts w:ascii="Garamond" w:hAnsi="Garamond" w:cs="Lucida Grande"/>
          <w:color w:val="000000"/>
          <w:sz w:val="25"/>
          <w:szCs w:val="25"/>
        </w:rPr>
        <w:t xml:space="preserve">and executed </w:t>
      </w:r>
      <w:r w:rsidR="00373C86" w:rsidRPr="001E3097">
        <w:rPr>
          <w:rFonts w:ascii="Garamond" w:hAnsi="Garamond" w:cs="Lucida Grande"/>
          <w:color w:val="000000"/>
          <w:sz w:val="25"/>
          <w:szCs w:val="25"/>
        </w:rPr>
        <w:t>by the Seventh Circuit.</w:t>
      </w:r>
    </w:p>
    <w:p w14:paraId="76C4F9D9" w14:textId="22B6EB7D" w:rsidR="00E81D79" w:rsidRPr="001E3097" w:rsidRDefault="008E1D30" w:rsidP="00456737">
      <w:pPr>
        <w:spacing w:line="480" w:lineRule="auto"/>
        <w:ind w:firstLine="720"/>
        <w:rPr>
          <w:rFonts w:ascii="Garamond" w:hAnsi="Garamond"/>
          <w:color w:val="000000"/>
          <w:sz w:val="25"/>
          <w:szCs w:val="25"/>
        </w:rPr>
      </w:pPr>
      <w:r w:rsidRPr="001E3097">
        <w:rPr>
          <w:rFonts w:ascii="Garamond" w:hAnsi="Garamond"/>
          <w:color w:val="000000"/>
          <w:sz w:val="25"/>
          <w:szCs w:val="25"/>
        </w:rPr>
        <w:t xml:space="preserve">Even applying the </w:t>
      </w:r>
      <w:r w:rsidRPr="001E3097">
        <w:rPr>
          <w:rFonts w:ascii="Garamond" w:hAnsi="Garamond"/>
          <w:color w:val="000000"/>
          <w:sz w:val="25"/>
          <w:szCs w:val="25"/>
          <w:u w:val="single"/>
        </w:rPr>
        <w:t>Dumas</w:t>
      </w:r>
      <w:r w:rsidR="00D81C11">
        <w:rPr>
          <w:rFonts w:ascii="Garamond" w:hAnsi="Garamond"/>
          <w:color w:val="000000"/>
          <w:sz w:val="25"/>
          <w:szCs w:val="25"/>
        </w:rPr>
        <w:t xml:space="preserve"> rule to the instant</w:t>
      </w:r>
      <w:r w:rsidR="00B5678F" w:rsidRPr="001E3097">
        <w:rPr>
          <w:rFonts w:ascii="Garamond" w:hAnsi="Garamond"/>
          <w:color w:val="000000"/>
          <w:sz w:val="25"/>
          <w:szCs w:val="25"/>
        </w:rPr>
        <w:t xml:space="preserve"> case, it is far from</w:t>
      </w:r>
      <w:r w:rsidRPr="001E3097">
        <w:rPr>
          <w:rFonts w:ascii="Garamond" w:hAnsi="Garamond"/>
          <w:color w:val="000000"/>
          <w:sz w:val="25"/>
          <w:szCs w:val="25"/>
        </w:rPr>
        <w:t xml:space="preserve"> obvious that the conversation between </w:t>
      </w:r>
      <w:r w:rsidR="00016DBD" w:rsidRPr="001E3097">
        <w:rPr>
          <w:rFonts w:ascii="Garamond" w:hAnsi="Garamond"/>
          <w:color w:val="000000"/>
          <w:sz w:val="25"/>
          <w:szCs w:val="25"/>
        </w:rPr>
        <w:t xml:space="preserve">Nelson and Lime satisfies </w:t>
      </w:r>
      <w:r w:rsidR="00016DBD" w:rsidRPr="001E3097">
        <w:rPr>
          <w:rFonts w:ascii="Garamond" w:hAnsi="Garamond"/>
          <w:color w:val="000000"/>
          <w:sz w:val="25"/>
          <w:szCs w:val="25"/>
          <w:u w:val="single"/>
        </w:rPr>
        <w:t>Dumas</w:t>
      </w:r>
      <w:r w:rsidR="00016DBD" w:rsidRPr="001E3097">
        <w:rPr>
          <w:rFonts w:ascii="Garamond" w:hAnsi="Garamond"/>
          <w:color w:val="000000"/>
          <w:sz w:val="25"/>
          <w:szCs w:val="25"/>
        </w:rPr>
        <w:t xml:space="preserve">’ requirement of a prior agreement. </w:t>
      </w:r>
      <w:r w:rsidR="00016DBD" w:rsidRPr="001E3097">
        <w:rPr>
          <w:rFonts w:ascii="Garamond" w:hAnsi="Garamond"/>
          <w:color w:val="000000"/>
          <w:sz w:val="25"/>
          <w:szCs w:val="25"/>
          <w:u w:val="single"/>
        </w:rPr>
        <w:t>Dumas</w:t>
      </w:r>
      <w:r w:rsidR="00016DBD" w:rsidRPr="001E3097">
        <w:rPr>
          <w:rFonts w:ascii="Garamond" w:hAnsi="Garamond"/>
          <w:color w:val="000000"/>
          <w:sz w:val="25"/>
          <w:szCs w:val="25"/>
        </w:rPr>
        <w:t xml:space="preserve"> rejected written language acknowledging “assignment. . . of all right, title, and interest. . .” as sufficient to indicate a prior agreement. 53 F.3d at 560. On the other hand, the court approved language accepting “a </w:t>
      </w:r>
      <w:r w:rsidR="00016DBD" w:rsidRPr="001E3097">
        <w:rPr>
          <w:rFonts w:ascii="Garamond" w:hAnsi="Garamond"/>
          <w:i/>
          <w:color w:val="000000"/>
          <w:sz w:val="25"/>
          <w:szCs w:val="25"/>
        </w:rPr>
        <w:t>work-made-for-hire</w:t>
      </w:r>
      <w:r w:rsidR="00016DBD" w:rsidRPr="001E3097">
        <w:rPr>
          <w:rFonts w:ascii="Garamond" w:hAnsi="Garamond"/>
          <w:color w:val="000000"/>
          <w:sz w:val="25"/>
          <w:szCs w:val="25"/>
        </w:rPr>
        <w:t xml:space="preserve"> </w:t>
      </w:r>
      <w:r w:rsidR="00016DBD" w:rsidRPr="001E3097">
        <w:rPr>
          <w:rFonts w:ascii="Garamond" w:hAnsi="Garamond"/>
          <w:i/>
          <w:color w:val="000000"/>
          <w:sz w:val="25"/>
          <w:szCs w:val="25"/>
        </w:rPr>
        <w:t>basis</w:t>
      </w:r>
      <w:r w:rsidR="00016DBD" w:rsidRPr="001E3097">
        <w:rPr>
          <w:rFonts w:ascii="Garamond" w:hAnsi="Garamond"/>
          <w:color w:val="000000"/>
          <w:sz w:val="25"/>
          <w:szCs w:val="25"/>
        </w:rPr>
        <w:t xml:space="preserve">”. </w:t>
      </w:r>
      <w:r w:rsidR="00016DBD" w:rsidRPr="001E3097">
        <w:rPr>
          <w:rFonts w:ascii="Garamond" w:hAnsi="Garamond"/>
          <w:color w:val="000000"/>
          <w:sz w:val="25"/>
          <w:szCs w:val="25"/>
          <w:u w:val="single"/>
        </w:rPr>
        <w:t>Id.</w:t>
      </w:r>
      <w:r w:rsidR="00C73D04" w:rsidRPr="001E3097">
        <w:rPr>
          <w:rFonts w:ascii="Garamond" w:hAnsi="Garamond"/>
          <w:color w:val="000000"/>
          <w:sz w:val="25"/>
          <w:szCs w:val="25"/>
        </w:rPr>
        <w:t xml:space="preserve"> </w:t>
      </w:r>
      <w:r w:rsidR="00D77452" w:rsidRPr="001E3097">
        <w:rPr>
          <w:rFonts w:ascii="Garamond" w:hAnsi="Garamond"/>
          <w:color w:val="000000"/>
          <w:sz w:val="25"/>
          <w:szCs w:val="25"/>
        </w:rPr>
        <w:t xml:space="preserve">Does the putative </w:t>
      </w:r>
      <w:r w:rsidR="0013193C">
        <w:rPr>
          <w:rFonts w:ascii="Garamond" w:hAnsi="Garamond"/>
          <w:color w:val="000000"/>
          <w:sz w:val="25"/>
          <w:szCs w:val="25"/>
        </w:rPr>
        <w:t xml:space="preserve">oral </w:t>
      </w:r>
      <w:r w:rsidR="00D77452" w:rsidRPr="001E3097">
        <w:rPr>
          <w:rFonts w:ascii="Garamond" w:hAnsi="Garamond"/>
          <w:color w:val="000000"/>
          <w:sz w:val="25"/>
          <w:szCs w:val="25"/>
        </w:rPr>
        <w:t xml:space="preserve">agreement between Nelson and Lime </w:t>
      </w:r>
      <w:r w:rsidR="00997F90" w:rsidRPr="001E3097">
        <w:rPr>
          <w:rFonts w:ascii="Garamond" w:hAnsi="Garamond"/>
          <w:color w:val="000000"/>
          <w:sz w:val="25"/>
          <w:szCs w:val="25"/>
        </w:rPr>
        <w:t>adequately</w:t>
      </w:r>
      <w:r w:rsidR="00D77452" w:rsidRPr="001E3097">
        <w:rPr>
          <w:rFonts w:ascii="Garamond" w:hAnsi="Garamond"/>
          <w:color w:val="000000"/>
          <w:sz w:val="25"/>
          <w:szCs w:val="25"/>
        </w:rPr>
        <w:t xml:space="preserve"> </w:t>
      </w:r>
      <w:r w:rsidR="00997F90" w:rsidRPr="001E3097">
        <w:rPr>
          <w:rFonts w:ascii="Garamond" w:hAnsi="Garamond"/>
          <w:color w:val="000000"/>
          <w:sz w:val="25"/>
          <w:szCs w:val="25"/>
        </w:rPr>
        <w:t>notify</w:t>
      </w:r>
      <w:r w:rsidR="00D77452" w:rsidRPr="001E3097">
        <w:rPr>
          <w:rFonts w:ascii="Garamond" w:hAnsi="Garamond"/>
          <w:color w:val="000000"/>
          <w:sz w:val="25"/>
          <w:szCs w:val="25"/>
        </w:rPr>
        <w:t xml:space="preserve"> Lime that “work on the screenplay [being] for hire” referred to the legal status</w:t>
      </w:r>
      <w:r w:rsidR="00DE29CA" w:rsidRPr="001E3097">
        <w:rPr>
          <w:rFonts w:ascii="Garamond" w:hAnsi="Garamond"/>
          <w:color w:val="000000"/>
          <w:sz w:val="25"/>
          <w:szCs w:val="25"/>
        </w:rPr>
        <w:t xml:space="preserve"> of</w:t>
      </w:r>
      <w:r w:rsidR="00C73D04" w:rsidRPr="001E3097">
        <w:rPr>
          <w:rFonts w:ascii="Garamond" w:hAnsi="Garamond"/>
          <w:color w:val="000000"/>
          <w:sz w:val="25"/>
          <w:szCs w:val="25"/>
        </w:rPr>
        <w:t xml:space="preserve"> a “work-made-</w:t>
      </w:r>
      <w:r w:rsidR="00D77452" w:rsidRPr="001E3097">
        <w:rPr>
          <w:rFonts w:ascii="Garamond" w:hAnsi="Garamond"/>
          <w:color w:val="000000"/>
          <w:sz w:val="25"/>
          <w:szCs w:val="25"/>
        </w:rPr>
        <w:t xml:space="preserve">for hire”? </w:t>
      </w:r>
      <w:r w:rsidR="00D81C11">
        <w:rPr>
          <w:rFonts w:ascii="Garamond" w:hAnsi="Garamond"/>
          <w:color w:val="000000"/>
          <w:sz w:val="25"/>
          <w:szCs w:val="25"/>
        </w:rPr>
        <w:t>It is unclear</w:t>
      </w:r>
      <w:r w:rsidR="00443F40">
        <w:rPr>
          <w:rFonts w:ascii="Garamond" w:hAnsi="Garamond"/>
          <w:color w:val="000000"/>
          <w:sz w:val="25"/>
          <w:szCs w:val="25"/>
        </w:rPr>
        <w:t>, and requires a judicial or jury finding</w:t>
      </w:r>
      <w:r w:rsidR="00D81C11">
        <w:rPr>
          <w:rFonts w:ascii="Garamond" w:hAnsi="Garamond"/>
          <w:color w:val="000000"/>
          <w:sz w:val="25"/>
          <w:szCs w:val="25"/>
        </w:rPr>
        <w:t xml:space="preserve">. </w:t>
      </w:r>
      <w:r w:rsidR="00443F40">
        <w:rPr>
          <w:rFonts w:ascii="Garamond" w:hAnsi="Garamond"/>
          <w:color w:val="000000"/>
          <w:sz w:val="25"/>
          <w:szCs w:val="25"/>
        </w:rPr>
        <w:t>And o</w:t>
      </w:r>
      <w:r w:rsidR="00997F90" w:rsidRPr="001E3097">
        <w:rPr>
          <w:rFonts w:ascii="Garamond" w:hAnsi="Garamond"/>
          <w:color w:val="000000"/>
          <w:sz w:val="25"/>
          <w:szCs w:val="25"/>
        </w:rPr>
        <w:t xml:space="preserve">f course, that is </w:t>
      </w:r>
      <w:r w:rsidR="00443F40">
        <w:rPr>
          <w:rFonts w:ascii="Garamond" w:hAnsi="Garamond"/>
          <w:color w:val="000000"/>
          <w:sz w:val="25"/>
          <w:szCs w:val="25"/>
        </w:rPr>
        <w:t>exactly</w:t>
      </w:r>
      <w:r w:rsidR="00997F90" w:rsidRPr="001E3097">
        <w:rPr>
          <w:rFonts w:ascii="Garamond" w:hAnsi="Garamond"/>
          <w:color w:val="000000"/>
          <w:sz w:val="25"/>
          <w:szCs w:val="25"/>
        </w:rPr>
        <w:t xml:space="preserve"> the </w:t>
      </w:r>
      <w:r w:rsidR="00443F40">
        <w:rPr>
          <w:rFonts w:ascii="Garamond" w:hAnsi="Garamond"/>
          <w:color w:val="000000"/>
          <w:sz w:val="25"/>
          <w:szCs w:val="25"/>
        </w:rPr>
        <w:t>problem</w:t>
      </w:r>
      <w:r w:rsidR="00997F90" w:rsidRPr="001E3097">
        <w:rPr>
          <w:rFonts w:ascii="Garamond" w:hAnsi="Garamond"/>
          <w:color w:val="000000"/>
          <w:sz w:val="25"/>
          <w:szCs w:val="25"/>
        </w:rPr>
        <w:t xml:space="preserve">. </w:t>
      </w:r>
      <w:r w:rsidR="00D81C11">
        <w:rPr>
          <w:rFonts w:ascii="Garamond" w:hAnsi="Garamond"/>
          <w:color w:val="000000"/>
          <w:sz w:val="25"/>
          <w:szCs w:val="25"/>
        </w:rPr>
        <w:t>One D</w:t>
      </w:r>
      <w:r w:rsidR="00D9526B" w:rsidRPr="001E3097">
        <w:rPr>
          <w:rFonts w:ascii="Garamond" w:hAnsi="Garamond"/>
          <w:color w:val="000000"/>
          <w:sz w:val="25"/>
          <w:szCs w:val="25"/>
        </w:rPr>
        <w:t>istrict Court praises the</w:t>
      </w:r>
      <w:r w:rsidR="00997F90" w:rsidRPr="001E3097">
        <w:rPr>
          <w:rFonts w:ascii="Garamond" w:hAnsi="Garamond"/>
          <w:color w:val="000000"/>
          <w:sz w:val="25"/>
          <w:szCs w:val="25"/>
        </w:rPr>
        <w:t xml:space="preserve"> “flexible, case-by-case inquiry” permitted by </w:t>
      </w:r>
      <w:r w:rsidR="00997F90" w:rsidRPr="001E3097">
        <w:rPr>
          <w:rFonts w:ascii="Garamond" w:hAnsi="Garamond"/>
          <w:color w:val="000000"/>
          <w:sz w:val="25"/>
          <w:szCs w:val="25"/>
          <w:u w:val="single"/>
        </w:rPr>
        <w:t>Dumas</w:t>
      </w:r>
      <w:r w:rsidR="00D9526B" w:rsidRPr="001E3097">
        <w:rPr>
          <w:rFonts w:ascii="Garamond" w:hAnsi="Garamond"/>
          <w:color w:val="000000"/>
          <w:sz w:val="25"/>
          <w:szCs w:val="25"/>
        </w:rPr>
        <w:t xml:space="preserve">. </w:t>
      </w:r>
      <w:r w:rsidR="00D9526B" w:rsidRPr="001E3097">
        <w:rPr>
          <w:rFonts w:ascii="Garamond" w:hAnsi="Garamond"/>
          <w:color w:val="000000"/>
          <w:sz w:val="25"/>
          <w:szCs w:val="25"/>
          <w:u w:val="single"/>
        </w:rPr>
        <w:t>Compaq</w:t>
      </w:r>
      <w:r w:rsidR="00D9526B" w:rsidRPr="001E3097">
        <w:rPr>
          <w:rFonts w:ascii="Garamond" w:hAnsi="Garamond"/>
          <w:color w:val="000000"/>
          <w:sz w:val="25"/>
          <w:szCs w:val="25"/>
        </w:rPr>
        <w:t xml:space="preserve">, 210 F. Supp 2d at 843. Yet this </w:t>
      </w:r>
      <w:r w:rsidR="00997F90" w:rsidRPr="001E3097">
        <w:rPr>
          <w:rFonts w:ascii="Garamond" w:hAnsi="Garamond"/>
          <w:color w:val="000000"/>
          <w:sz w:val="25"/>
          <w:szCs w:val="25"/>
        </w:rPr>
        <w:t>presents precisely the same</w:t>
      </w:r>
      <w:r w:rsidR="00D81C11">
        <w:rPr>
          <w:rFonts w:ascii="Garamond" w:hAnsi="Garamond"/>
          <w:color w:val="000000"/>
          <w:sz w:val="25"/>
          <w:szCs w:val="25"/>
        </w:rPr>
        <w:t xml:space="preserve"> challenges to</w:t>
      </w:r>
      <w:r w:rsidR="00997F90" w:rsidRPr="001E3097">
        <w:rPr>
          <w:rFonts w:ascii="Garamond" w:hAnsi="Garamond"/>
          <w:color w:val="000000"/>
          <w:sz w:val="25"/>
          <w:szCs w:val="25"/>
        </w:rPr>
        <w:t xml:space="preserve"> “predictability and certainty” </w:t>
      </w:r>
      <w:r w:rsidR="00E81D79" w:rsidRPr="001E3097">
        <w:rPr>
          <w:rFonts w:ascii="Garamond" w:hAnsi="Garamond"/>
          <w:color w:val="000000"/>
          <w:sz w:val="25"/>
          <w:szCs w:val="25"/>
        </w:rPr>
        <w:t xml:space="preserve">that </w:t>
      </w:r>
      <w:r w:rsidR="002D5332" w:rsidRPr="001E3097">
        <w:rPr>
          <w:rFonts w:ascii="Garamond" w:hAnsi="Garamond"/>
          <w:color w:val="000000"/>
          <w:sz w:val="25"/>
          <w:szCs w:val="25"/>
        </w:rPr>
        <w:t>militated</w:t>
      </w:r>
      <w:r w:rsidR="00E81D79" w:rsidRPr="001E3097">
        <w:rPr>
          <w:rFonts w:ascii="Garamond" w:hAnsi="Garamond"/>
          <w:color w:val="000000"/>
          <w:sz w:val="25"/>
          <w:szCs w:val="25"/>
        </w:rPr>
        <w:t xml:space="preserve"> the Supreme Court</w:t>
      </w:r>
      <w:r w:rsidR="00D9526B" w:rsidRPr="001E3097">
        <w:rPr>
          <w:rFonts w:ascii="Garamond" w:hAnsi="Garamond"/>
          <w:color w:val="000000"/>
          <w:sz w:val="25"/>
          <w:szCs w:val="25"/>
        </w:rPr>
        <w:t xml:space="preserve"> in </w:t>
      </w:r>
      <w:r w:rsidR="00D9526B" w:rsidRPr="001E3097">
        <w:rPr>
          <w:rFonts w:ascii="Garamond" w:hAnsi="Garamond"/>
          <w:color w:val="000000"/>
          <w:sz w:val="25"/>
          <w:szCs w:val="25"/>
          <w:u w:val="single"/>
        </w:rPr>
        <w:t>Reid</w:t>
      </w:r>
      <w:r w:rsidR="00D9526B" w:rsidRPr="001E3097">
        <w:rPr>
          <w:rFonts w:ascii="Garamond" w:hAnsi="Garamond"/>
          <w:color w:val="000000"/>
          <w:sz w:val="25"/>
          <w:szCs w:val="25"/>
        </w:rPr>
        <w:t xml:space="preserve"> </w:t>
      </w:r>
      <w:r w:rsidR="00E81D79" w:rsidRPr="001E3097">
        <w:rPr>
          <w:rFonts w:ascii="Garamond" w:hAnsi="Garamond"/>
          <w:color w:val="000000"/>
          <w:sz w:val="25"/>
          <w:szCs w:val="25"/>
        </w:rPr>
        <w:t xml:space="preserve">to </w:t>
      </w:r>
      <w:r w:rsidR="00503264" w:rsidRPr="001E3097">
        <w:rPr>
          <w:rFonts w:ascii="Garamond" w:hAnsi="Garamond"/>
          <w:color w:val="000000"/>
          <w:sz w:val="25"/>
          <w:szCs w:val="25"/>
        </w:rPr>
        <w:t>discount</w:t>
      </w:r>
      <w:r w:rsidR="00E81D79" w:rsidRPr="001E3097">
        <w:rPr>
          <w:rFonts w:ascii="Garamond" w:hAnsi="Garamond"/>
          <w:color w:val="000000"/>
          <w:sz w:val="25"/>
          <w:szCs w:val="25"/>
        </w:rPr>
        <w:t xml:space="preserve"> the Second Circuit’s</w:t>
      </w:r>
      <w:r w:rsidR="00C73D04" w:rsidRPr="001E3097">
        <w:rPr>
          <w:rFonts w:ascii="Garamond" w:hAnsi="Garamond"/>
          <w:color w:val="000000"/>
          <w:sz w:val="25"/>
          <w:szCs w:val="25"/>
        </w:rPr>
        <w:t xml:space="preserve"> </w:t>
      </w:r>
      <w:r w:rsidR="00E81D79" w:rsidRPr="001E3097">
        <w:rPr>
          <w:rFonts w:ascii="Garamond" w:hAnsi="Garamond"/>
          <w:color w:val="000000"/>
          <w:sz w:val="25"/>
          <w:szCs w:val="25"/>
          <w:u w:val="single"/>
        </w:rPr>
        <w:t>Aldon Accessories</w:t>
      </w:r>
      <w:r w:rsidR="00D81C11">
        <w:rPr>
          <w:rFonts w:ascii="Garamond" w:hAnsi="Garamond"/>
          <w:color w:val="000000"/>
          <w:sz w:val="25"/>
          <w:szCs w:val="25"/>
        </w:rPr>
        <w:t xml:space="preserve"> rule, which had </w:t>
      </w:r>
      <w:r w:rsidR="00D9526B" w:rsidRPr="001E3097">
        <w:rPr>
          <w:rFonts w:ascii="Garamond" w:hAnsi="Garamond"/>
          <w:color w:val="000000"/>
          <w:sz w:val="25"/>
          <w:szCs w:val="25"/>
        </w:rPr>
        <w:t>allowed</w:t>
      </w:r>
      <w:r w:rsidR="00C73D04" w:rsidRPr="001E3097">
        <w:rPr>
          <w:rFonts w:ascii="Garamond" w:hAnsi="Garamond"/>
          <w:color w:val="000000"/>
          <w:sz w:val="25"/>
          <w:szCs w:val="25"/>
        </w:rPr>
        <w:t xml:space="preserve"> a case-by-case determination of whether a person was an </w:t>
      </w:r>
      <w:r w:rsidR="008B7BA7">
        <w:rPr>
          <w:rFonts w:ascii="Garamond" w:hAnsi="Garamond"/>
          <w:color w:val="000000"/>
          <w:sz w:val="25"/>
          <w:szCs w:val="25"/>
        </w:rPr>
        <w:t>“</w:t>
      </w:r>
      <w:r w:rsidR="00C73D04" w:rsidRPr="001E3097">
        <w:rPr>
          <w:rFonts w:ascii="Garamond" w:hAnsi="Garamond"/>
          <w:color w:val="000000"/>
          <w:sz w:val="25"/>
          <w:szCs w:val="25"/>
        </w:rPr>
        <w:t>employee</w:t>
      </w:r>
      <w:r w:rsidR="008B7BA7">
        <w:rPr>
          <w:rFonts w:ascii="Garamond" w:hAnsi="Garamond"/>
          <w:color w:val="000000"/>
          <w:sz w:val="25"/>
          <w:szCs w:val="25"/>
        </w:rPr>
        <w:t>”</w:t>
      </w:r>
      <w:r w:rsidR="00C73D04" w:rsidRPr="001E3097">
        <w:rPr>
          <w:rFonts w:ascii="Garamond" w:hAnsi="Garamond"/>
          <w:color w:val="000000"/>
          <w:sz w:val="25"/>
          <w:szCs w:val="25"/>
        </w:rPr>
        <w:t xml:space="preserve"> under 17 U.S.C. </w:t>
      </w:r>
      <w:r w:rsidR="00C73D04" w:rsidRPr="001E3097">
        <w:rPr>
          <w:rFonts w:ascii="Garamond" w:hAnsi="Garamond" w:cs="Lucida Grande"/>
          <w:color w:val="000000"/>
          <w:sz w:val="25"/>
          <w:szCs w:val="25"/>
        </w:rPr>
        <w:t xml:space="preserve">§ </w:t>
      </w:r>
      <w:r w:rsidR="00C73D04" w:rsidRPr="001E3097">
        <w:rPr>
          <w:rFonts w:ascii="Garamond" w:hAnsi="Garamond"/>
          <w:color w:val="000000"/>
          <w:sz w:val="25"/>
          <w:szCs w:val="25"/>
        </w:rPr>
        <w:t>101(1)</w:t>
      </w:r>
      <w:r w:rsidR="00D9526B" w:rsidRPr="001E3097">
        <w:rPr>
          <w:rFonts w:ascii="Garamond" w:hAnsi="Garamond"/>
          <w:color w:val="000000"/>
          <w:sz w:val="25"/>
          <w:szCs w:val="25"/>
        </w:rPr>
        <w:t xml:space="preserve">. </w:t>
      </w:r>
      <w:r w:rsidR="00D9526B" w:rsidRPr="001E3097">
        <w:rPr>
          <w:rFonts w:ascii="Garamond" w:hAnsi="Garamond"/>
          <w:color w:val="000000"/>
          <w:sz w:val="25"/>
          <w:szCs w:val="25"/>
          <w:u w:val="single"/>
        </w:rPr>
        <w:t>Reid</w:t>
      </w:r>
      <w:r w:rsidR="00D9526B" w:rsidRPr="001E3097">
        <w:rPr>
          <w:rFonts w:ascii="Garamond" w:hAnsi="Garamond"/>
          <w:color w:val="000000"/>
          <w:sz w:val="25"/>
          <w:szCs w:val="25"/>
        </w:rPr>
        <w:t xml:space="preserve">, 490 U.S. at 753 (overturning </w:t>
      </w:r>
      <w:r w:rsidR="00D9526B" w:rsidRPr="001E3097">
        <w:rPr>
          <w:rFonts w:ascii="Garamond" w:hAnsi="Garamond"/>
          <w:color w:val="000000"/>
          <w:sz w:val="25"/>
          <w:szCs w:val="25"/>
          <w:u w:val="single"/>
        </w:rPr>
        <w:t>Aldon Accessories</w:t>
      </w:r>
      <w:r w:rsidR="00D9526B" w:rsidRPr="001E3097">
        <w:rPr>
          <w:rFonts w:ascii="Garamond" w:hAnsi="Garamond"/>
          <w:color w:val="000000"/>
          <w:sz w:val="25"/>
          <w:szCs w:val="25"/>
        </w:rPr>
        <w:t xml:space="preserve">, 738 F. 2d at 552). </w:t>
      </w:r>
    </w:p>
    <w:p w14:paraId="3B51DFD2" w14:textId="0A558B9D" w:rsidR="00884127" w:rsidRPr="001E3097" w:rsidRDefault="00884127" w:rsidP="00884127">
      <w:pPr>
        <w:spacing w:line="480" w:lineRule="auto"/>
        <w:ind w:firstLine="720"/>
        <w:rPr>
          <w:rFonts w:ascii="Garamond" w:eastAsia="Times New Roman" w:hAnsi="Garamond" w:cs="Times New Roman"/>
          <w:sz w:val="25"/>
          <w:szCs w:val="25"/>
        </w:rPr>
      </w:pPr>
      <w:r w:rsidRPr="001E3097">
        <w:rPr>
          <w:rFonts w:ascii="Garamond" w:eastAsia="Times New Roman" w:hAnsi="Garamond" w:cs="Times New Roman"/>
          <w:sz w:val="25"/>
          <w:szCs w:val="25"/>
        </w:rPr>
        <w:t xml:space="preserve">Plaintiff’s proposed standard would frustrate Congress’ purpose and create uncertainty in copyright ownership, jeopardizing the revenues of persons and industries intimately dependent on clear intellectual property rights, as well as impeding timely access to formerly copyrighted works by the public. </w:t>
      </w:r>
      <w:r w:rsidR="00375AFE" w:rsidRPr="001E3097">
        <w:rPr>
          <w:rFonts w:ascii="Garamond" w:eastAsia="Times New Roman" w:hAnsi="Garamond" w:cs="Times New Roman"/>
          <w:sz w:val="25"/>
          <w:szCs w:val="25"/>
        </w:rPr>
        <w:t xml:space="preserve">This Court </w:t>
      </w:r>
      <w:r w:rsidR="00254CD6" w:rsidRPr="001E3097">
        <w:rPr>
          <w:rFonts w:ascii="Garamond" w:eastAsia="Times New Roman" w:hAnsi="Garamond" w:cs="Times New Roman"/>
          <w:sz w:val="25"/>
          <w:szCs w:val="25"/>
        </w:rPr>
        <w:t>must</w:t>
      </w:r>
      <w:r w:rsidR="00375AFE" w:rsidRPr="001E3097">
        <w:rPr>
          <w:rFonts w:ascii="Garamond" w:eastAsia="Times New Roman" w:hAnsi="Garamond" w:cs="Times New Roman"/>
          <w:sz w:val="25"/>
          <w:szCs w:val="25"/>
        </w:rPr>
        <w:t xml:space="preserve"> effectuate Congress’ purpose and dismiss the Complaint. </w:t>
      </w:r>
    </w:p>
    <w:p w14:paraId="1C67428A" w14:textId="437CC7F3" w:rsidR="004D25F8" w:rsidRPr="001E3097" w:rsidRDefault="00D9526B" w:rsidP="0013193C">
      <w:pPr>
        <w:ind w:right="-270"/>
        <w:rPr>
          <w:rFonts w:ascii="Garamond" w:hAnsi="Garamond"/>
          <w:b/>
          <w:color w:val="000000"/>
          <w:sz w:val="25"/>
          <w:szCs w:val="25"/>
        </w:rPr>
      </w:pPr>
      <w:r w:rsidRPr="001E3097">
        <w:rPr>
          <w:rFonts w:ascii="Garamond" w:hAnsi="Garamond"/>
          <w:b/>
          <w:color w:val="000000"/>
          <w:sz w:val="25"/>
          <w:szCs w:val="25"/>
        </w:rPr>
        <w:t>D</w:t>
      </w:r>
      <w:r w:rsidR="004D25F8" w:rsidRPr="001E3097">
        <w:rPr>
          <w:rFonts w:ascii="Garamond" w:hAnsi="Garamond"/>
          <w:b/>
          <w:color w:val="000000"/>
          <w:sz w:val="25"/>
          <w:szCs w:val="25"/>
        </w:rPr>
        <w:t xml:space="preserve">. </w:t>
      </w:r>
      <w:r w:rsidR="003663BC" w:rsidRPr="001E3097">
        <w:rPr>
          <w:rFonts w:ascii="Garamond" w:hAnsi="Garamond"/>
          <w:b/>
          <w:color w:val="000000"/>
          <w:sz w:val="25"/>
          <w:szCs w:val="25"/>
        </w:rPr>
        <w:t xml:space="preserve">The Court should accord </w:t>
      </w:r>
      <w:r w:rsidR="003663BC" w:rsidRPr="001E3097">
        <w:rPr>
          <w:rFonts w:ascii="Garamond" w:hAnsi="Garamond"/>
          <w:b/>
          <w:i/>
          <w:color w:val="000000"/>
          <w:sz w:val="25"/>
          <w:szCs w:val="25"/>
        </w:rPr>
        <w:t>Skidmore</w:t>
      </w:r>
      <w:r w:rsidR="00E55825" w:rsidRPr="001E3097">
        <w:rPr>
          <w:rFonts w:ascii="Garamond" w:hAnsi="Garamond"/>
          <w:b/>
          <w:color w:val="000000"/>
          <w:sz w:val="25"/>
          <w:szCs w:val="25"/>
        </w:rPr>
        <w:t xml:space="preserve"> deference to the </w:t>
      </w:r>
      <w:r w:rsidR="003663BC" w:rsidRPr="001E3097">
        <w:rPr>
          <w:rFonts w:ascii="Garamond" w:hAnsi="Garamond"/>
          <w:b/>
          <w:color w:val="000000"/>
          <w:sz w:val="25"/>
          <w:szCs w:val="25"/>
        </w:rPr>
        <w:t>Copyright</w:t>
      </w:r>
      <w:r w:rsidR="00E55825" w:rsidRPr="001E3097">
        <w:rPr>
          <w:rFonts w:ascii="Garamond" w:hAnsi="Garamond"/>
          <w:b/>
          <w:color w:val="000000"/>
          <w:sz w:val="25"/>
          <w:szCs w:val="25"/>
        </w:rPr>
        <w:t xml:space="preserve"> Office</w:t>
      </w:r>
      <w:r w:rsidR="003663BC" w:rsidRPr="001E3097">
        <w:rPr>
          <w:rFonts w:ascii="Garamond" w:hAnsi="Garamond"/>
          <w:b/>
          <w:color w:val="000000"/>
          <w:sz w:val="25"/>
          <w:szCs w:val="25"/>
        </w:rPr>
        <w:t xml:space="preserve">’s interpretation of </w:t>
      </w:r>
      <w:r w:rsidR="003663BC" w:rsidRPr="001E3097">
        <w:rPr>
          <w:rFonts w:ascii="Garamond" w:hAnsi="Garamond" w:cs="Lucida Grande"/>
          <w:b/>
          <w:color w:val="000000"/>
          <w:sz w:val="25"/>
          <w:szCs w:val="25"/>
        </w:rPr>
        <w:t>§ 101</w:t>
      </w:r>
      <w:r w:rsidR="002D5B12" w:rsidRPr="001E3097">
        <w:rPr>
          <w:rFonts w:ascii="Garamond" w:hAnsi="Garamond" w:cs="Lucida Grande"/>
          <w:b/>
          <w:color w:val="000000"/>
          <w:sz w:val="25"/>
          <w:szCs w:val="25"/>
        </w:rPr>
        <w:t>(2)</w:t>
      </w:r>
      <w:r w:rsidR="003663BC" w:rsidRPr="001E3097">
        <w:rPr>
          <w:rFonts w:ascii="Garamond" w:hAnsi="Garamond" w:cs="Lucida Grande"/>
          <w:b/>
          <w:color w:val="000000"/>
          <w:sz w:val="25"/>
          <w:szCs w:val="25"/>
        </w:rPr>
        <w:t xml:space="preserve"> </w:t>
      </w:r>
      <w:r w:rsidR="003663BC" w:rsidRPr="001E3097">
        <w:rPr>
          <w:rFonts w:ascii="Garamond" w:hAnsi="Garamond"/>
          <w:b/>
          <w:color w:val="000000"/>
          <w:sz w:val="25"/>
          <w:szCs w:val="25"/>
        </w:rPr>
        <w:t xml:space="preserve">requiring a written agreement prior to creation of a work for hire. </w:t>
      </w:r>
    </w:p>
    <w:p w14:paraId="0F4D59BC" w14:textId="77777777" w:rsidR="009306C6" w:rsidRPr="001E3097" w:rsidRDefault="009306C6" w:rsidP="009306C6">
      <w:pPr>
        <w:rPr>
          <w:rFonts w:ascii="Garamond" w:hAnsi="Garamond"/>
          <w:b/>
          <w:color w:val="000000"/>
          <w:sz w:val="25"/>
          <w:szCs w:val="25"/>
        </w:rPr>
      </w:pPr>
    </w:p>
    <w:p w14:paraId="584FF086" w14:textId="643273A3" w:rsidR="00F26409" w:rsidRPr="001E3097" w:rsidRDefault="002D0759" w:rsidP="00B850A1">
      <w:pPr>
        <w:spacing w:line="480" w:lineRule="auto"/>
        <w:rPr>
          <w:rFonts w:ascii="Garamond" w:hAnsi="Garamond"/>
          <w:sz w:val="25"/>
          <w:szCs w:val="25"/>
        </w:rPr>
      </w:pPr>
      <w:r w:rsidRPr="001E3097">
        <w:rPr>
          <w:rFonts w:ascii="Garamond" w:hAnsi="Garamond"/>
          <w:color w:val="000000"/>
          <w:sz w:val="25"/>
          <w:szCs w:val="25"/>
        </w:rPr>
        <w:tab/>
      </w:r>
      <w:r w:rsidR="001021D3" w:rsidRPr="001E3097">
        <w:rPr>
          <w:rFonts w:ascii="Garamond" w:hAnsi="Garamond"/>
          <w:color w:val="000000"/>
          <w:sz w:val="25"/>
          <w:szCs w:val="25"/>
        </w:rPr>
        <w:t>Agency interpretation</w:t>
      </w:r>
      <w:r w:rsidR="00802122" w:rsidRPr="001E3097">
        <w:rPr>
          <w:rFonts w:ascii="Garamond" w:hAnsi="Garamond"/>
          <w:color w:val="000000"/>
          <w:sz w:val="25"/>
          <w:szCs w:val="25"/>
        </w:rPr>
        <w:t>s</w:t>
      </w:r>
      <w:r w:rsidR="00CD5DCA" w:rsidRPr="001E3097">
        <w:rPr>
          <w:rFonts w:ascii="Garamond" w:hAnsi="Garamond"/>
          <w:color w:val="000000"/>
          <w:sz w:val="25"/>
          <w:szCs w:val="25"/>
        </w:rPr>
        <w:t xml:space="preserve"> also support requiring a pre-creation writing. </w:t>
      </w:r>
      <w:r w:rsidR="005D3B31" w:rsidRPr="001E3097">
        <w:rPr>
          <w:rFonts w:ascii="Garamond" w:hAnsi="Garamond"/>
          <w:color w:val="000000"/>
          <w:sz w:val="25"/>
          <w:szCs w:val="25"/>
          <w:u w:val="single"/>
        </w:rPr>
        <w:t>Skidmore</w:t>
      </w:r>
      <w:r w:rsidR="00083F70" w:rsidRPr="001E3097">
        <w:rPr>
          <w:rFonts w:ascii="Garamond" w:hAnsi="Garamond"/>
          <w:color w:val="000000"/>
          <w:sz w:val="25"/>
          <w:szCs w:val="25"/>
        </w:rPr>
        <w:t xml:space="preserve"> deference </w:t>
      </w:r>
      <w:r w:rsidR="005D3B31" w:rsidRPr="001E3097">
        <w:rPr>
          <w:rFonts w:ascii="Garamond" w:hAnsi="Garamond"/>
          <w:color w:val="000000"/>
          <w:sz w:val="25"/>
          <w:szCs w:val="25"/>
        </w:rPr>
        <w:t xml:space="preserve">is properly sought when an agency does not exercise formal </w:t>
      </w:r>
      <w:r w:rsidR="00083F70" w:rsidRPr="001E3097">
        <w:rPr>
          <w:rFonts w:ascii="Garamond" w:hAnsi="Garamond"/>
          <w:color w:val="000000"/>
          <w:sz w:val="25"/>
          <w:szCs w:val="25"/>
        </w:rPr>
        <w:t>notice-and-comment rule</w:t>
      </w:r>
      <w:r w:rsidR="005D3B31" w:rsidRPr="001E3097">
        <w:rPr>
          <w:rFonts w:ascii="Garamond" w:hAnsi="Garamond"/>
          <w:color w:val="000000"/>
          <w:sz w:val="25"/>
          <w:szCs w:val="25"/>
        </w:rPr>
        <w:t>ma</w:t>
      </w:r>
      <w:r w:rsidR="00083F70" w:rsidRPr="001E3097">
        <w:rPr>
          <w:rFonts w:ascii="Garamond" w:hAnsi="Garamond"/>
          <w:color w:val="000000"/>
          <w:sz w:val="25"/>
          <w:szCs w:val="25"/>
        </w:rPr>
        <w:t xml:space="preserve">king authority, but instead issues less formal documents such as </w:t>
      </w:r>
      <w:r w:rsidR="00003019" w:rsidRPr="001E3097">
        <w:rPr>
          <w:rFonts w:ascii="Garamond" w:hAnsi="Garamond"/>
          <w:sz w:val="25"/>
          <w:szCs w:val="25"/>
        </w:rPr>
        <w:t xml:space="preserve">the </w:t>
      </w:r>
      <w:r w:rsidR="00083F70" w:rsidRPr="001E3097">
        <w:rPr>
          <w:rFonts w:ascii="Garamond" w:hAnsi="Garamond"/>
          <w:sz w:val="25"/>
          <w:szCs w:val="25"/>
        </w:rPr>
        <w:t>“rulings, interpretations and opinions</w:t>
      </w:r>
      <w:r w:rsidR="00003019" w:rsidRPr="001E3097">
        <w:rPr>
          <w:rFonts w:ascii="Garamond" w:hAnsi="Garamond"/>
          <w:sz w:val="25"/>
          <w:szCs w:val="25"/>
        </w:rPr>
        <w:t xml:space="preserve"> of [an] Administrator</w:t>
      </w:r>
      <w:r w:rsidR="00083F70" w:rsidRPr="001E3097">
        <w:rPr>
          <w:rFonts w:ascii="Garamond" w:hAnsi="Garamond"/>
          <w:sz w:val="25"/>
          <w:szCs w:val="25"/>
        </w:rPr>
        <w:t xml:space="preserve">”, </w:t>
      </w:r>
      <w:r w:rsidR="00083F70" w:rsidRPr="001E3097">
        <w:rPr>
          <w:rFonts w:ascii="Garamond" w:hAnsi="Garamond"/>
          <w:sz w:val="25"/>
          <w:szCs w:val="25"/>
          <w:u w:val="single"/>
        </w:rPr>
        <w:t>Skidmore v. Swift</w:t>
      </w:r>
      <w:r w:rsidR="00083F70" w:rsidRPr="001E3097">
        <w:rPr>
          <w:rFonts w:ascii="Garamond" w:hAnsi="Garamond"/>
          <w:sz w:val="25"/>
          <w:szCs w:val="25"/>
        </w:rPr>
        <w:t>, 323 U.S. 134</w:t>
      </w:r>
      <w:r w:rsidR="00003019" w:rsidRPr="001E3097">
        <w:rPr>
          <w:rFonts w:ascii="Garamond" w:hAnsi="Garamond"/>
          <w:sz w:val="25"/>
          <w:szCs w:val="25"/>
        </w:rPr>
        <w:t>, 140</w:t>
      </w:r>
      <w:r w:rsidR="00083F70" w:rsidRPr="001E3097">
        <w:rPr>
          <w:rFonts w:ascii="Garamond" w:hAnsi="Garamond"/>
          <w:sz w:val="25"/>
          <w:szCs w:val="25"/>
        </w:rPr>
        <w:t xml:space="preserve"> (1</w:t>
      </w:r>
      <w:r w:rsidR="00057371" w:rsidRPr="001E3097">
        <w:rPr>
          <w:rFonts w:ascii="Garamond" w:hAnsi="Garamond"/>
          <w:sz w:val="25"/>
          <w:szCs w:val="25"/>
        </w:rPr>
        <w:t>9</w:t>
      </w:r>
      <w:r w:rsidR="00083F70" w:rsidRPr="001E3097">
        <w:rPr>
          <w:rFonts w:ascii="Garamond" w:hAnsi="Garamond"/>
          <w:sz w:val="25"/>
          <w:szCs w:val="25"/>
        </w:rPr>
        <w:t>44)</w:t>
      </w:r>
      <w:r w:rsidR="00003019" w:rsidRPr="001E3097">
        <w:rPr>
          <w:rFonts w:ascii="Garamond" w:hAnsi="Garamond"/>
          <w:sz w:val="25"/>
          <w:szCs w:val="25"/>
        </w:rPr>
        <w:t xml:space="preserve">. These informal judgments nonetheless “do constitute a body of experience and informed judgment to which courts and litigants may properly resort for guidance . . . which give it power to persuade, if lacking power to control.” </w:t>
      </w:r>
      <w:r w:rsidR="00003019" w:rsidRPr="001E3097">
        <w:rPr>
          <w:rFonts w:ascii="Garamond" w:hAnsi="Garamond"/>
          <w:sz w:val="25"/>
          <w:szCs w:val="25"/>
          <w:u w:val="single"/>
        </w:rPr>
        <w:t>Id</w:t>
      </w:r>
      <w:r w:rsidR="00003019" w:rsidRPr="001E3097">
        <w:rPr>
          <w:rFonts w:ascii="Garamond" w:hAnsi="Garamond"/>
          <w:i/>
          <w:sz w:val="25"/>
          <w:szCs w:val="25"/>
          <w:u w:val="single"/>
        </w:rPr>
        <w:t>.</w:t>
      </w:r>
      <w:r w:rsidR="00003019" w:rsidRPr="001E3097">
        <w:rPr>
          <w:rFonts w:ascii="Garamond" w:hAnsi="Garamond"/>
          <w:sz w:val="25"/>
          <w:szCs w:val="25"/>
        </w:rPr>
        <w:t xml:space="preserve"> at 140. </w:t>
      </w:r>
    </w:p>
    <w:p w14:paraId="6CE61AE5" w14:textId="5AE66A99" w:rsidR="008E6973" w:rsidRPr="001E3097" w:rsidRDefault="00003019" w:rsidP="00003019">
      <w:pPr>
        <w:spacing w:line="480" w:lineRule="auto"/>
        <w:rPr>
          <w:rFonts w:ascii="Garamond" w:eastAsia="Times New Roman" w:hAnsi="Garamond" w:cs="Times New Roman"/>
          <w:sz w:val="25"/>
          <w:szCs w:val="25"/>
        </w:rPr>
      </w:pPr>
      <w:r w:rsidRPr="001E3097">
        <w:rPr>
          <w:rFonts w:ascii="Garamond" w:hAnsi="Garamond"/>
          <w:sz w:val="25"/>
          <w:szCs w:val="25"/>
        </w:rPr>
        <w:tab/>
        <w:t xml:space="preserve">There are two relevant </w:t>
      </w:r>
      <w:r w:rsidR="00BE116C" w:rsidRPr="001E3097">
        <w:rPr>
          <w:rFonts w:ascii="Garamond" w:hAnsi="Garamond"/>
          <w:sz w:val="25"/>
          <w:szCs w:val="25"/>
        </w:rPr>
        <w:t xml:space="preserve">agency </w:t>
      </w:r>
      <w:r w:rsidRPr="001E3097">
        <w:rPr>
          <w:rFonts w:ascii="Garamond" w:hAnsi="Garamond"/>
          <w:sz w:val="25"/>
          <w:szCs w:val="25"/>
        </w:rPr>
        <w:t xml:space="preserve">interpretations of 17 U.S.C. </w:t>
      </w:r>
      <w:r w:rsidRPr="001E3097">
        <w:rPr>
          <w:rFonts w:ascii="Garamond" w:hAnsi="Garamond" w:cs="Lucida Grande"/>
          <w:color w:val="000000"/>
          <w:sz w:val="25"/>
          <w:szCs w:val="25"/>
        </w:rPr>
        <w:t>§ 101</w:t>
      </w:r>
      <w:r w:rsidR="002D5B12" w:rsidRPr="001E3097">
        <w:rPr>
          <w:rFonts w:ascii="Garamond" w:hAnsi="Garamond" w:cs="Lucida Grande"/>
          <w:color w:val="000000"/>
          <w:sz w:val="25"/>
          <w:szCs w:val="25"/>
        </w:rPr>
        <w:t>(2)</w:t>
      </w:r>
      <w:r w:rsidRPr="001E3097">
        <w:rPr>
          <w:rFonts w:ascii="Garamond" w:hAnsi="Garamond" w:cs="Lucida Grande"/>
          <w:color w:val="000000"/>
          <w:sz w:val="25"/>
          <w:szCs w:val="25"/>
        </w:rPr>
        <w:t xml:space="preserve"> this Court should consider. </w:t>
      </w:r>
      <w:r w:rsidR="00CC0E16" w:rsidRPr="001E3097">
        <w:rPr>
          <w:rFonts w:ascii="Garamond" w:hAnsi="Garamond" w:cs="Lucida Grande"/>
          <w:color w:val="000000"/>
          <w:sz w:val="25"/>
          <w:szCs w:val="25"/>
        </w:rPr>
        <w:t xml:space="preserve">The first is testimony by Barbara Ringer, </w:t>
      </w:r>
      <w:r w:rsidR="008E6973" w:rsidRPr="001E3097">
        <w:rPr>
          <w:rFonts w:ascii="Garamond" w:hAnsi="Garamond" w:cs="Lucida Grande"/>
          <w:color w:val="000000"/>
          <w:sz w:val="25"/>
          <w:szCs w:val="25"/>
        </w:rPr>
        <w:t>then-</w:t>
      </w:r>
      <w:r w:rsidR="00CC0E16" w:rsidRPr="001E3097">
        <w:rPr>
          <w:rFonts w:ascii="Garamond" w:hAnsi="Garamond" w:cs="Lucida Grande"/>
          <w:color w:val="000000"/>
          <w:sz w:val="25"/>
          <w:szCs w:val="25"/>
        </w:rPr>
        <w:t xml:space="preserve">Register of Copyrights, who testified in 1964 that “her understanding of the legislation that became the 1976 Act was that a work prepared on special order or commission would not be considered a ‘work made for hire’ if the written agreement was signed after the work was created.” H.R. Rep. no. 51-374, 89th Cong., 1st Sess., Part 5, 1964 </w:t>
      </w:r>
      <w:r w:rsidR="00CC0E16" w:rsidRPr="001E3097">
        <w:rPr>
          <w:rFonts w:ascii="Garamond" w:hAnsi="Garamond" w:cs="Lucida Grande"/>
          <w:i/>
          <w:color w:val="000000"/>
          <w:sz w:val="25"/>
          <w:szCs w:val="25"/>
        </w:rPr>
        <w:t>Revision Bill with Discussion and Comments</w:t>
      </w:r>
      <w:r w:rsidR="00D9526B" w:rsidRPr="001E3097">
        <w:rPr>
          <w:rFonts w:ascii="Garamond" w:hAnsi="Garamond" w:cs="Lucida Grande"/>
          <w:color w:val="000000"/>
          <w:sz w:val="25"/>
          <w:szCs w:val="25"/>
        </w:rPr>
        <w:t>, at 145 (1965)</w:t>
      </w:r>
      <w:r w:rsidR="00CC0E16" w:rsidRPr="001E3097">
        <w:rPr>
          <w:rFonts w:ascii="Garamond" w:hAnsi="Garamond" w:cs="Lucida Grande"/>
          <w:color w:val="000000"/>
          <w:sz w:val="25"/>
          <w:szCs w:val="25"/>
        </w:rPr>
        <w:t xml:space="preserve">. </w:t>
      </w:r>
      <w:r w:rsidR="001021D3" w:rsidRPr="001E3097">
        <w:rPr>
          <w:rFonts w:ascii="Garamond" w:hAnsi="Garamond" w:cs="Lucida Grande"/>
          <w:color w:val="000000"/>
          <w:sz w:val="25"/>
          <w:szCs w:val="25"/>
        </w:rPr>
        <w:t xml:space="preserve">The Second Circuit gave </w:t>
      </w:r>
      <w:r w:rsidR="00B850A1" w:rsidRPr="001E3097">
        <w:rPr>
          <w:rFonts w:ascii="Garamond" w:hAnsi="Garamond" w:cs="Lucida Grande"/>
          <w:color w:val="000000"/>
          <w:sz w:val="25"/>
          <w:szCs w:val="25"/>
        </w:rPr>
        <w:t>special “weigh</w:t>
      </w:r>
      <w:r w:rsidR="001021D3" w:rsidRPr="001E3097">
        <w:rPr>
          <w:rFonts w:ascii="Garamond" w:hAnsi="Garamond" w:cs="Lucida Grande"/>
          <w:color w:val="000000"/>
          <w:sz w:val="25"/>
          <w:szCs w:val="25"/>
        </w:rPr>
        <w:t xml:space="preserve">t” to Ringer’s testimony </w:t>
      </w:r>
      <w:r w:rsidR="00616218" w:rsidRPr="001E3097">
        <w:rPr>
          <w:rFonts w:ascii="Garamond" w:hAnsi="Garamond" w:cs="Lucida Grande"/>
          <w:color w:val="000000"/>
          <w:sz w:val="25"/>
          <w:szCs w:val="25"/>
        </w:rPr>
        <w:t>because her</w:t>
      </w:r>
      <w:r w:rsidR="001021D3" w:rsidRPr="001E3097">
        <w:rPr>
          <w:rFonts w:ascii="Garamond" w:hAnsi="Garamond" w:cs="Lucida Grande"/>
          <w:color w:val="000000"/>
          <w:sz w:val="25"/>
          <w:szCs w:val="25"/>
        </w:rPr>
        <w:t xml:space="preserve"> prior</w:t>
      </w:r>
      <w:r w:rsidR="00616218" w:rsidRPr="001E3097">
        <w:rPr>
          <w:rFonts w:ascii="Garamond" w:hAnsi="Garamond" w:cs="Lucida Grande"/>
          <w:color w:val="000000"/>
          <w:sz w:val="25"/>
          <w:szCs w:val="25"/>
        </w:rPr>
        <w:t xml:space="preserve"> interpretations have</w:t>
      </w:r>
      <w:r w:rsidR="00B850A1" w:rsidRPr="001E3097">
        <w:rPr>
          <w:rFonts w:ascii="Garamond" w:hAnsi="Garamond" w:cs="Lucida Grande"/>
          <w:color w:val="000000"/>
          <w:sz w:val="25"/>
          <w:szCs w:val="25"/>
        </w:rPr>
        <w:t xml:space="preserve"> been adopted </w:t>
      </w:r>
      <w:r w:rsidR="00F426E3" w:rsidRPr="001E3097">
        <w:rPr>
          <w:rFonts w:ascii="Garamond" w:hAnsi="Garamond" w:cs="Lucida Grande"/>
          <w:color w:val="000000"/>
          <w:sz w:val="25"/>
          <w:szCs w:val="25"/>
        </w:rPr>
        <w:t>in</w:t>
      </w:r>
      <w:r w:rsidR="00B850A1" w:rsidRPr="001E3097">
        <w:rPr>
          <w:rFonts w:ascii="Garamond" w:hAnsi="Garamond" w:cs="Lucida Grande"/>
          <w:color w:val="000000"/>
          <w:sz w:val="25"/>
          <w:szCs w:val="25"/>
        </w:rPr>
        <w:t xml:space="preserve"> House Reports, and “</w:t>
      </w:r>
      <w:r w:rsidR="00B850A1" w:rsidRPr="001E3097">
        <w:rPr>
          <w:rFonts w:ascii="Garamond" w:eastAsia="Times New Roman" w:hAnsi="Garamond" w:cs="Arial"/>
          <w:color w:val="000000"/>
          <w:sz w:val="25"/>
          <w:szCs w:val="25"/>
          <w:shd w:val="clear" w:color="auto" w:fill="FFFFFF"/>
        </w:rPr>
        <w:t>because ‘Barbara Ringer, Register of Copyrights, more than any other single person, is responsible for</w:t>
      </w:r>
      <w:r w:rsidR="00616218" w:rsidRPr="001E3097">
        <w:rPr>
          <w:rFonts w:ascii="Garamond" w:eastAsia="Times New Roman" w:hAnsi="Garamond" w:cs="Arial"/>
          <w:color w:val="000000"/>
          <w:sz w:val="25"/>
          <w:szCs w:val="25"/>
          <w:shd w:val="clear" w:color="auto" w:fill="FFFFFF"/>
        </w:rPr>
        <w:t xml:space="preserve"> the content of the new law. . . .</w:t>
      </w:r>
      <w:r w:rsidR="00B850A1" w:rsidRPr="001E3097">
        <w:rPr>
          <w:rFonts w:ascii="Garamond" w:eastAsia="Times New Roman" w:hAnsi="Garamond" w:cs="Arial"/>
          <w:color w:val="000000"/>
          <w:sz w:val="25"/>
          <w:szCs w:val="25"/>
          <w:shd w:val="clear" w:color="auto" w:fill="FFFFFF"/>
        </w:rPr>
        <w:t xml:space="preserve">’” </w:t>
      </w:r>
      <w:r w:rsidR="00B850A1" w:rsidRPr="001E3097">
        <w:rPr>
          <w:rFonts w:ascii="Garamond" w:eastAsia="Times New Roman" w:hAnsi="Garamond" w:cs="Arial"/>
          <w:color w:val="000000"/>
          <w:sz w:val="25"/>
          <w:szCs w:val="25"/>
          <w:u w:val="single"/>
          <w:shd w:val="clear" w:color="auto" w:fill="FFFFFF"/>
        </w:rPr>
        <w:t>Harry Fox Agency, Inc. v. Mills Music, Inc.</w:t>
      </w:r>
      <w:r w:rsidR="00B850A1" w:rsidRPr="001E3097">
        <w:rPr>
          <w:rFonts w:ascii="Garamond" w:eastAsia="Times New Roman" w:hAnsi="Garamond" w:cs="Arial"/>
          <w:color w:val="000000"/>
          <w:sz w:val="25"/>
          <w:szCs w:val="25"/>
          <w:shd w:val="clear" w:color="auto" w:fill="FFFFFF"/>
        </w:rPr>
        <w:t>, 720 F. 2d 733, 741</w:t>
      </w:r>
      <w:r w:rsidR="00E46EF3" w:rsidRPr="001E3097">
        <w:rPr>
          <w:rFonts w:ascii="Garamond" w:eastAsia="Times New Roman" w:hAnsi="Garamond" w:cs="Arial"/>
          <w:color w:val="000000"/>
          <w:sz w:val="25"/>
          <w:szCs w:val="25"/>
          <w:shd w:val="clear" w:color="auto" w:fill="FFFFFF"/>
        </w:rPr>
        <w:t xml:space="preserve"> n.15</w:t>
      </w:r>
      <w:r w:rsidR="00E13645">
        <w:rPr>
          <w:rFonts w:ascii="Garamond" w:eastAsia="Times New Roman" w:hAnsi="Garamond" w:cs="Arial"/>
          <w:color w:val="000000"/>
          <w:sz w:val="25"/>
          <w:szCs w:val="25"/>
          <w:shd w:val="clear" w:color="auto" w:fill="FFFFFF"/>
        </w:rPr>
        <w:t xml:space="preserve"> (2nd. Cir. 1983) </w:t>
      </w:r>
      <w:r w:rsidR="00B850A1" w:rsidRPr="001E3097">
        <w:rPr>
          <w:rFonts w:ascii="Garamond" w:eastAsia="Times New Roman" w:hAnsi="Garamond" w:cs="Arial"/>
          <w:color w:val="000000"/>
          <w:sz w:val="25"/>
          <w:szCs w:val="25"/>
          <w:shd w:val="clear" w:color="auto" w:fill="FFFFFF"/>
        </w:rPr>
        <w:t xml:space="preserve">(quoting </w:t>
      </w:r>
      <w:r w:rsidR="00CB2C81" w:rsidRPr="001E3097">
        <w:rPr>
          <w:rFonts w:ascii="Garamond" w:eastAsia="Times New Roman" w:hAnsi="Garamond" w:cs="Arial"/>
          <w:color w:val="000000"/>
          <w:sz w:val="25"/>
          <w:szCs w:val="25"/>
          <w:shd w:val="clear" w:color="auto" w:fill="FFFFFF"/>
        </w:rPr>
        <w:t>M.</w:t>
      </w:r>
      <w:r w:rsidR="00B850A1" w:rsidRPr="001E3097">
        <w:rPr>
          <w:rFonts w:ascii="Garamond" w:eastAsia="Times New Roman" w:hAnsi="Garamond" w:cs="Arial"/>
          <w:color w:val="000000"/>
          <w:sz w:val="25"/>
          <w:szCs w:val="25"/>
          <w:shd w:val="clear" w:color="auto" w:fill="FFFFFF"/>
        </w:rPr>
        <w:t xml:space="preserve"> Nimmer, </w:t>
      </w:r>
      <w:r w:rsidR="00B850A1" w:rsidRPr="001E3097">
        <w:rPr>
          <w:rFonts w:ascii="Garamond" w:eastAsia="Times New Roman" w:hAnsi="Garamond" w:cs="Arial"/>
          <w:color w:val="000000"/>
          <w:sz w:val="25"/>
          <w:szCs w:val="25"/>
          <w:u w:val="single"/>
          <w:shd w:val="clear" w:color="auto" w:fill="FFFFFF"/>
        </w:rPr>
        <w:t>The Law of Copyright</w:t>
      </w:r>
      <w:r w:rsidR="00CB2C81" w:rsidRPr="001E3097">
        <w:rPr>
          <w:rFonts w:ascii="Garamond" w:eastAsia="Times New Roman" w:hAnsi="Garamond" w:cs="Arial"/>
          <w:color w:val="000000"/>
          <w:sz w:val="25"/>
          <w:szCs w:val="25"/>
          <w:shd w:val="clear" w:color="auto" w:fill="FFFFFF"/>
        </w:rPr>
        <w:t xml:space="preserve"> vi (1983)).</w:t>
      </w:r>
      <w:r w:rsidR="00616218" w:rsidRPr="001E3097">
        <w:rPr>
          <w:rFonts w:ascii="Garamond" w:eastAsia="Times New Roman" w:hAnsi="Garamond" w:cs="Times New Roman"/>
          <w:sz w:val="25"/>
          <w:szCs w:val="25"/>
        </w:rPr>
        <w:t xml:space="preserve"> </w:t>
      </w:r>
      <w:r w:rsidR="00E46EF3" w:rsidRPr="001E3097">
        <w:rPr>
          <w:rFonts w:ascii="Garamond" w:eastAsia="Times New Roman" w:hAnsi="Garamond" w:cs="Times New Roman"/>
          <w:sz w:val="25"/>
          <w:szCs w:val="25"/>
        </w:rPr>
        <w:t xml:space="preserve">Ringer’s interpretation has added authority due to its temporal proximity with the passage of the Copyright Act of 1976. </w:t>
      </w:r>
      <w:r w:rsidR="00E46EF3" w:rsidRPr="0013193C">
        <w:rPr>
          <w:rFonts w:ascii="Garamond" w:eastAsia="Times New Roman" w:hAnsi="Garamond" w:cs="Times New Roman"/>
          <w:sz w:val="25"/>
          <w:szCs w:val="25"/>
          <w:u w:val="single"/>
        </w:rPr>
        <w:t>See</w:t>
      </w:r>
      <w:r w:rsidR="00E46EF3" w:rsidRPr="001E3097">
        <w:rPr>
          <w:rFonts w:ascii="Garamond" w:eastAsia="Times New Roman" w:hAnsi="Garamond" w:cs="Times New Roman"/>
          <w:sz w:val="25"/>
          <w:szCs w:val="25"/>
        </w:rPr>
        <w:t xml:space="preserve"> </w:t>
      </w:r>
      <w:r w:rsidR="002B150F" w:rsidRPr="001E3097">
        <w:rPr>
          <w:rFonts w:ascii="Garamond" w:eastAsia="Times New Roman" w:hAnsi="Garamond" w:cs="Times New Roman"/>
          <w:sz w:val="25"/>
          <w:szCs w:val="25"/>
          <w:u w:val="single"/>
        </w:rPr>
        <w:t>United States v. American Trucking Associations</w:t>
      </w:r>
      <w:r w:rsidR="002B150F" w:rsidRPr="001E3097">
        <w:rPr>
          <w:rFonts w:ascii="Garamond" w:eastAsia="Times New Roman" w:hAnsi="Garamond" w:cs="Times New Roman"/>
          <w:sz w:val="25"/>
          <w:szCs w:val="25"/>
        </w:rPr>
        <w:t xml:space="preserve">, Inc., 310 U.S. 534, 549 (1940) (noting agency interpretations are entitled to “great weight” where they are contemporaneous with the adoption of a statute). </w:t>
      </w:r>
      <w:r w:rsidR="002B150F" w:rsidRPr="001E3097">
        <w:rPr>
          <w:rFonts w:ascii="Garamond" w:eastAsia="Times New Roman" w:hAnsi="Garamond" w:cs="Times New Roman"/>
          <w:sz w:val="25"/>
          <w:szCs w:val="25"/>
        </w:rPr>
        <w:tab/>
      </w:r>
    </w:p>
    <w:p w14:paraId="125593E1" w14:textId="4D381BF6" w:rsidR="00003019" w:rsidRPr="001E3097" w:rsidRDefault="001021D3" w:rsidP="008E6973">
      <w:pPr>
        <w:spacing w:line="480" w:lineRule="auto"/>
        <w:ind w:firstLine="720"/>
        <w:rPr>
          <w:rFonts w:ascii="Garamond" w:eastAsia="Times New Roman" w:hAnsi="Garamond" w:cs="Times New Roman"/>
          <w:sz w:val="25"/>
          <w:szCs w:val="25"/>
        </w:rPr>
      </w:pPr>
      <w:r w:rsidRPr="001E3097">
        <w:rPr>
          <w:rFonts w:ascii="Garamond" w:eastAsia="Times New Roman" w:hAnsi="Garamond" w:cs="Times New Roman"/>
          <w:sz w:val="25"/>
          <w:szCs w:val="25"/>
        </w:rPr>
        <w:t>Ms. Ringer, however, is not the only Register of Copyrights to subscribe to this position. I</w:t>
      </w:r>
      <w:r w:rsidR="008E6973" w:rsidRPr="001E3097">
        <w:rPr>
          <w:rFonts w:ascii="Garamond" w:eastAsia="Times New Roman" w:hAnsi="Garamond" w:cs="Times New Roman"/>
          <w:sz w:val="25"/>
          <w:szCs w:val="25"/>
        </w:rPr>
        <w:t>n 2000</w:t>
      </w:r>
      <w:r w:rsidRPr="001E3097">
        <w:rPr>
          <w:rFonts w:ascii="Garamond" w:eastAsia="Times New Roman" w:hAnsi="Garamond" w:cs="Times New Roman"/>
          <w:sz w:val="25"/>
          <w:szCs w:val="25"/>
        </w:rPr>
        <w:t>, Marybeth Peters,</w:t>
      </w:r>
      <w:r w:rsidR="002B150F" w:rsidRPr="001E3097">
        <w:rPr>
          <w:rFonts w:ascii="Garamond" w:eastAsia="Times New Roman" w:hAnsi="Garamond" w:cs="Times New Roman"/>
          <w:sz w:val="25"/>
          <w:szCs w:val="25"/>
        </w:rPr>
        <w:t xml:space="preserve"> </w:t>
      </w:r>
      <w:r w:rsidR="0053517B" w:rsidRPr="001E3097">
        <w:rPr>
          <w:rFonts w:ascii="Garamond" w:eastAsia="Times New Roman" w:hAnsi="Garamond" w:cs="Times New Roman"/>
          <w:sz w:val="25"/>
          <w:szCs w:val="25"/>
        </w:rPr>
        <w:t>the</w:t>
      </w:r>
      <w:r w:rsidR="008E6973" w:rsidRPr="001E3097">
        <w:rPr>
          <w:rFonts w:ascii="Garamond" w:eastAsia="Times New Roman" w:hAnsi="Garamond" w:cs="Times New Roman"/>
          <w:sz w:val="25"/>
          <w:szCs w:val="25"/>
        </w:rPr>
        <w:t xml:space="preserve"> Register of Copyrights</w:t>
      </w:r>
      <w:r w:rsidRPr="001E3097">
        <w:rPr>
          <w:rFonts w:ascii="Garamond" w:eastAsia="Times New Roman" w:hAnsi="Garamond" w:cs="Times New Roman"/>
          <w:sz w:val="25"/>
          <w:szCs w:val="25"/>
        </w:rPr>
        <w:t>,</w:t>
      </w:r>
      <w:r w:rsidR="008E6973" w:rsidRPr="001E3097">
        <w:rPr>
          <w:rFonts w:ascii="Garamond" w:eastAsia="Times New Roman" w:hAnsi="Garamond" w:cs="Times New Roman"/>
          <w:sz w:val="25"/>
          <w:szCs w:val="25"/>
        </w:rPr>
        <w:t xml:space="preserve"> testified before the House Subcommittee on Courts and Intellectual Property: “In contrast, commissioned works can only be considered works made for hire if they fall within certain specified categories, and </w:t>
      </w:r>
      <w:r w:rsidR="008E6973" w:rsidRPr="001E3097">
        <w:rPr>
          <w:rFonts w:ascii="Garamond" w:eastAsia="Times New Roman" w:hAnsi="Garamond" w:cs="Times New Roman"/>
          <w:i/>
          <w:sz w:val="25"/>
          <w:szCs w:val="25"/>
        </w:rPr>
        <w:t>even then</w:t>
      </w:r>
      <w:r w:rsidR="008E6973" w:rsidRPr="001E3097">
        <w:rPr>
          <w:rFonts w:ascii="Garamond" w:eastAsia="Times New Roman" w:hAnsi="Garamond" w:cs="Times New Roman"/>
          <w:sz w:val="25"/>
          <w:szCs w:val="25"/>
        </w:rPr>
        <w:t xml:space="preserve">, only if the person commissioning the work and the person or persons accepting the commission agree in writing that the work </w:t>
      </w:r>
      <w:r w:rsidR="008E6973" w:rsidRPr="001E3097">
        <w:rPr>
          <w:rFonts w:ascii="Garamond" w:eastAsia="Times New Roman" w:hAnsi="Garamond" w:cs="Times New Roman"/>
          <w:i/>
          <w:sz w:val="25"/>
          <w:szCs w:val="25"/>
        </w:rPr>
        <w:t>to be created</w:t>
      </w:r>
      <w:r w:rsidR="008E6973" w:rsidRPr="001E3097">
        <w:rPr>
          <w:rFonts w:ascii="Garamond" w:eastAsia="Times New Roman" w:hAnsi="Garamond" w:cs="Times New Roman"/>
          <w:sz w:val="25"/>
          <w:szCs w:val="25"/>
        </w:rPr>
        <w:t xml:space="preserve"> will be considered a work made for hire</w:t>
      </w:r>
      <w:r w:rsidR="007F3835" w:rsidRPr="001E3097">
        <w:rPr>
          <w:rFonts w:ascii="Garamond" w:eastAsia="Times New Roman" w:hAnsi="Garamond" w:cs="Times New Roman"/>
          <w:sz w:val="25"/>
          <w:szCs w:val="25"/>
        </w:rPr>
        <w:t xml:space="preserve">.” </w:t>
      </w:r>
      <w:r w:rsidR="00D81C11">
        <w:rPr>
          <w:rFonts w:ascii="Garamond" w:eastAsia="Times New Roman" w:hAnsi="Garamond" w:cs="Times New Roman"/>
          <w:sz w:val="25"/>
          <w:szCs w:val="25"/>
          <w:u w:val="single"/>
        </w:rPr>
        <w:t>Sound</w:t>
      </w:r>
      <w:r w:rsidR="00FD5C23" w:rsidRPr="001E3097">
        <w:rPr>
          <w:rFonts w:ascii="Garamond" w:eastAsia="Times New Roman" w:hAnsi="Garamond" w:cs="Times New Roman"/>
          <w:sz w:val="25"/>
          <w:szCs w:val="25"/>
          <w:u w:val="single"/>
        </w:rPr>
        <w:t xml:space="preserve"> Recordings as Works Made for Hire: Hearing Before the H. Subcomm, on Courts and Intellectual Property</w:t>
      </w:r>
      <w:r w:rsidR="00FD5C23" w:rsidRPr="001E3097">
        <w:rPr>
          <w:rFonts w:ascii="Garamond" w:eastAsia="Times New Roman" w:hAnsi="Garamond" w:cs="Times New Roman"/>
          <w:sz w:val="25"/>
          <w:szCs w:val="25"/>
        </w:rPr>
        <w:t xml:space="preserve">, 106th Cong. 2 (2000) </w:t>
      </w:r>
      <w:r w:rsidR="007F3835" w:rsidRPr="001E3097">
        <w:rPr>
          <w:rFonts w:ascii="Garamond" w:eastAsia="Times New Roman" w:hAnsi="Garamond" w:cs="Times New Roman"/>
          <w:sz w:val="25"/>
          <w:szCs w:val="25"/>
        </w:rPr>
        <w:t>(emphasis added).</w:t>
      </w:r>
      <w:r w:rsidR="008E6973" w:rsidRPr="001E3097">
        <w:rPr>
          <w:rFonts w:ascii="Garamond" w:eastAsia="Times New Roman" w:hAnsi="Garamond" w:cs="Times New Roman"/>
          <w:sz w:val="25"/>
          <w:szCs w:val="25"/>
        </w:rPr>
        <w:t xml:space="preserve"> </w:t>
      </w:r>
      <w:r w:rsidR="00D81196" w:rsidRPr="001E3097">
        <w:rPr>
          <w:rFonts w:ascii="Garamond" w:eastAsia="Times New Roman" w:hAnsi="Garamond" w:cs="Times New Roman"/>
          <w:sz w:val="25"/>
          <w:szCs w:val="25"/>
        </w:rPr>
        <w:t>The Register’s statements</w:t>
      </w:r>
      <w:r w:rsidR="00032132">
        <w:rPr>
          <w:rFonts w:ascii="Garamond" w:eastAsia="Times New Roman" w:hAnsi="Garamond" w:cs="Times New Roman"/>
          <w:sz w:val="25"/>
          <w:szCs w:val="25"/>
        </w:rPr>
        <w:t xml:space="preserve"> impart three critical points:</w:t>
      </w:r>
      <w:r w:rsidR="00D81196" w:rsidRPr="001E3097">
        <w:rPr>
          <w:rFonts w:ascii="Garamond" w:eastAsia="Times New Roman" w:hAnsi="Garamond" w:cs="Times New Roman"/>
          <w:sz w:val="25"/>
          <w:szCs w:val="25"/>
        </w:rPr>
        <w:t xml:space="preserve"> First, the written agreement is meant to be a nontrivial obstacle to an artist’s forfeiture of authorship. Second, the Register indicates that she believes the writing must be executed before the work is to be created. Third, the Register’</w:t>
      </w:r>
      <w:r w:rsidR="002141E5" w:rsidRPr="001E3097">
        <w:rPr>
          <w:rFonts w:ascii="Garamond" w:eastAsia="Times New Roman" w:hAnsi="Garamond" w:cs="Times New Roman"/>
          <w:sz w:val="25"/>
          <w:szCs w:val="25"/>
        </w:rPr>
        <w:t>s comments reflect</w:t>
      </w:r>
      <w:r w:rsidR="006A4ECA" w:rsidRPr="001E3097">
        <w:rPr>
          <w:rFonts w:ascii="Garamond" w:eastAsia="Times New Roman" w:hAnsi="Garamond" w:cs="Times New Roman"/>
          <w:sz w:val="25"/>
          <w:szCs w:val="25"/>
        </w:rPr>
        <w:t xml:space="preserve"> l</w:t>
      </w:r>
      <w:r w:rsidR="002141E5" w:rsidRPr="001E3097">
        <w:rPr>
          <w:rFonts w:ascii="Garamond" w:eastAsia="Times New Roman" w:hAnsi="Garamond" w:cs="Times New Roman"/>
          <w:sz w:val="25"/>
          <w:szCs w:val="25"/>
        </w:rPr>
        <w:t>ongstanding agency judgment, and</w:t>
      </w:r>
      <w:r w:rsidR="006A4ECA" w:rsidRPr="001E3097">
        <w:rPr>
          <w:rFonts w:ascii="Garamond" w:eastAsia="Times New Roman" w:hAnsi="Garamond" w:cs="Times New Roman"/>
          <w:sz w:val="25"/>
          <w:szCs w:val="25"/>
        </w:rPr>
        <w:t xml:space="preserve"> “consistency </w:t>
      </w:r>
      <w:r w:rsidR="002141E5" w:rsidRPr="001E3097">
        <w:rPr>
          <w:rFonts w:ascii="Garamond" w:eastAsia="Times New Roman" w:hAnsi="Garamond" w:cs="Times New Roman"/>
          <w:sz w:val="25"/>
          <w:szCs w:val="25"/>
        </w:rPr>
        <w:t xml:space="preserve">with earlier and later pronouncements” entitles an agency to greater deference. </w:t>
      </w:r>
      <w:r w:rsidR="002141E5" w:rsidRPr="001E3097">
        <w:rPr>
          <w:rFonts w:ascii="Garamond" w:eastAsia="Times New Roman" w:hAnsi="Garamond" w:cs="Times New Roman"/>
          <w:sz w:val="25"/>
          <w:szCs w:val="25"/>
          <w:u w:val="single"/>
        </w:rPr>
        <w:t>Skidmore</w:t>
      </w:r>
      <w:r w:rsidR="002141E5" w:rsidRPr="001E3097">
        <w:rPr>
          <w:rFonts w:ascii="Garamond" w:eastAsia="Times New Roman" w:hAnsi="Garamond" w:cs="Times New Roman"/>
          <w:sz w:val="25"/>
          <w:szCs w:val="25"/>
        </w:rPr>
        <w:t xml:space="preserve">, 323 U.S. at 140. </w:t>
      </w:r>
    </w:p>
    <w:p w14:paraId="658D9C9F" w14:textId="6C5805D6" w:rsidR="00F426E3" w:rsidRPr="001E3097" w:rsidRDefault="00F426E3" w:rsidP="008E6973">
      <w:pPr>
        <w:spacing w:line="480" w:lineRule="auto"/>
        <w:ind w:firstLine="720"/>
        <w:rPr>
          <w:rFonts w:ascii="Garamond" w:eastAsia="Times New Roman" w:hAnsi="Garamond" w:cs="Times New Roman"/>
          <w:sz w:val="25"/>
          <w:szCs w:val="25"/>
        </w:rPr>
      </w:pPr>
      <w:r w:rsidRPr="001E3097">
        <w:rPr>
          <w:rFonts w:ascii="Garamond" w:eastAsia="Times New Roman" w:hAnsi="Garamond" w:cs="Times New Roman"/>
          <w:sz w:val="25"/>
          <w:szCs w:val="25"/>
        </w:rPr>
        <w:t xml:space="preserve">While agency interpretation under </w:t>
      </w:r>
      <w:r w:rsidRPr="001E3097">
        <w:rPr>
          <w:rFonts w:ascii="Garamond" w:eastAsia="Times New Roman" w:hAnsi="Garamond" w:cs="Times New Roman"/>
          <w:sz w:val="25"/>
          <w:szCs w:val="25"/>
          <w:u w:val="single"/>
        </w:rPr>
        <w:t>Skidmore</w:t>
      </w:r>
      <w:r w:rsidRPr="001E3097">
        <w:rPr>
          <w:rFonts w:ascii="Garamond" w:eastAsia="Times New Roman" w:hAnsi="Garamond" w:cs="Times New Roman"/>
          <w:sz w:val="25"/>
          <w:szCs w:val="25"/>
        </w:rPr>
        <w:t xml:space="preserve"> </w:t>
      </w:r>
      <w:r w:rsidR="0051458E" w:rsidRPr="001E3097">
        <w:rPr>
          <w:rFonts w:ascii="Garamond" w:eastAsia="Times New Roman" w:hAnsi="Garamond" w:cs="Times New Roman"/>
          <w:sz w:val="25"/>
          <w:szCs w:val="25"/>
        </w:rPr>
        <w:t>has only the power to persuade,</w:t>
      </w:r>
      <w:r w:rsidR="00362457" w:rsidRPr="001E3097">
        <w:rPr>
          <w:rFonts w:ascii="Garamond" w:eastAsia="Times New Roman" w:hAnsi="Garamond" w:cs="Times New Roman"/>
          <w:sz w:val="25"/>
          <w:szCs w:val="25"/>
        </w:rPr>
        <w:t xml:space="preserve"> </w:t>
      </w:r>
      <w:r w:rsidR="0051458E" w:rsidRPr="001E3097">
        <w:rPr>
          <w:rFonts w:ascii="Garamond" w:eastAsia="Times New Roman" w:hAnsi="Garamond" w:cs="Times New Roman"/>
          <w:sz w:val="25"/>
          <w:szCs w:val="25"/>
        </w:rPr>
        <w:t>d</w:t>
      </w:r>
      <w:r w:rsidRPr="001E3097">
        <w:rPr>
          <w:rFonts w:ascii="Garamond" w:eastAsia="Times New Roman" w:hAnsi="Garamond" w:cs="Times New Roman"/>
          <w:sz w:val="25"/>
          <w:szCs w:val="25"/>
        </w:rPr>
        <w:t xml:space="preserve">eference to </w:t>
      </w:r>
      <w:r w:rsidR="00362457" w:rsidRPr="001E3097">
        <w:rPr>
          <w:rFonts w:ascii="Garamond" w:eastAsia="Times New Roman" w:hAnsi="Garamond" w:cs="Times New Roman"/>
          <w:sz w:val="25"/>
          <w:szCs w:val="25"/>
        </w:rPr>
        <w:t xml:space="preserve">agency judgment informed by specialized experience and maintained over thirty-five years </w:t>
      </w:r>
      <w:r w:rsidR="0051458E" w:rsidRPr="001E3097">
        <w:rPr>
          <w:rFonts w:ascii="Garamond" w:eastAsia="Times New Roman" w:hAnsi="Garamond" w:cs="Times New Roman"/>
          <w:sz w:val="25"/>
          <w:szCs w:val="25"/>
        </w:rPr>
        <w:t>may</w:t>
      </w:r>
      <w:r w:rsidR="00362457" w:rsidRPr="001E3097">
        <w:rPr>
          <w:rFonts w:ascii="Garamond" w:eastAsia="Times New Roman" w:hAnsi="Garamond" w:cs="Times New Roman"/>
          <w:sz w:val="25"/>
          <w:szCs w:val="25"/>
        </w:rPr>
        <w:t xml:space="preserve"> be more than </w:t>
      </w:r>
      <w:r w:rsidR="00362457" w:rsidRPr="001E3097">
        <w:rPr>
          <w:rFonts w:ascii="Garamond" w:eastAsia="Times New Roman" w:hAnsi="Garamond" w:cs="Times New Roman"/>
          <w:i/>
          <w:sz w:val="25"/>
          <w:szCs w:val="25"/>
        </w:rPr>
        <w:t>de minimis</w:t>
      </w:r>
      <w:r w:rsidR="00362457" w:rsidRPr="001E3097">
        <w:rPr>
          <w:rFonts w:ascii="Garamond" w:eastAsia="Times New Roman" w:hAnsi="Garamond" w:cs="Times New Roman"/>
          <w:sz w:val="25"/>
          <w:szCs w:val="25"/>
        </w:rPr>
        <w:t>. The Congressional testimony by two Registers of Copyright should lead this Court to conclude</w:t>
      </w:r>
      <w:r w:rsidR="00C64246" w:rsidRPr="001E3097">
        <w:rPr>
          <w:rFonts w:ascii="Garamond" w:eastAsia="Times New Roman" w:hAnsi="Garamond" w:cs="Times New Roman"/>
          <w:sz w:val="25"/>
          <w:szCs w:val="25"/>
        </w:rPr>
        <w:t xml:space="preserve">, in a close case, </w:t>
      </w:r>
      <w:r w:rsidR="00362457" w:rsidRPr="001E3097">
        <w:rPr>
          <w:rFonts w:ascii="Garamond" w:eastAsia="Times New Roman" w:hAnsi="Garamond" w:cs="Times New Roman"/>
          <w:sz w:val="25"/>
          <w:szCs w:val="25"/>
        </w:rPr>
        <w:t xml:space="preserve">that written agreements must precede the creation of a work for hire, and to consequently dismiss Plaintiff’s complaint for failure to state a claim. </w:t>
      </w:r>
    </w:p>
    <w:p w14:paraId="67D19B6C" w14:textId="0B874B82" w:rsidR="001E3097" w:rsidRPr="001E3097" w:rsidRDefault="001E3097" w:rsidP="001E3097">
      <w:pPr>
        <w:spacing w:line="480" w:lineRule="auto"/>
        <w:ind w:right="-270"/>
        <w:rPr>
          <w:rFonts w:ascii="Garamond" w:eastAsia="Times New Roman" w:hAnsi="Garamond" w:cs="Times New Roman"/>
          <w:b/>
          <w:sz w:val="25"/>
          <w:szCs w:val="25"/>
        </w:rPr>
      </w:pPr>
      <w:r w:rsidRPr="001E3097">
        <w:rPr>
          <w:rFonts w:ascii="Garamond" w:eastAsia="Times New Roman" w:hAnsi="Garamond" w:cs="Times New Roman"/>
          <w:b/>
          <w:color w:val="333333"/>
          <w:sz w:val="25"/>
          <w:szCs w:val="25"/>
          <w:shd w:val="clear" w:color="auto" w:fill="FFFFFF"/>
        </w:rPr>
        <w:t xml:space="preserve">D. The Rule of Lenity Requires Interpreting the Statute to Require a Pre-Creation Writing.   </w:t>
      </w:r>
    </w:p>
    <w:p w14:paraId="1A66CB43" w14:textId="36B57B4E" w:rsidR="001E3097" w:rsidRDefault="001E3097" w:rsidP="0013193C">
      <w:pPr>
        <w:spacing w:line="480" w:lineRule="auto"/>
        <w:rPr>
          <w:rFonts w:ascii="Garamond" w:eastAsia="Times New Roman" w:hAnsi="Garamond" w:cs="Times New Roman"/>
          <w:sz w:val="25"/>
          <w:szCs w:val="25"/>
        </w:rPr>
      </w:pPr>
      <w:r w:rsidRPr="001E3097">
        <w:rPr>
          <w:rFonts w:ascii="Garamond" w:eastAsia="Times New Roman" w:hAnsi="Garamond" w:cs="Times New Roman"/>
          <w:sz w:val="25"/>
          <w:szCs w:val="25"/>
        </w:rPr>
        <w:tab/>
        <w:t xml:space="preserve">The rule of lenity requires the Court to construe the statute narrowly and require a pre-creation written agreement. It is well established that “when there are two rational readings of a criminal statute, one harsher than the other, [courts] are to choose the harsher only when Congress has spoken in clear and definite language. . .” </w:t>
      </w:r>
      <w:r w:rsidRPr="001E3097">
        <w:rPr>
          <w:rFonts w:ascii="Garamond" w:eastAsia="Times New Roman" w:hAnsi="Garamond" w:cs="Times New Roman"/>
          <w:sz w:val="25"/>
          <w:szCs w:val="25"/>
          <w:u w:val="single"/>
        </w:rPr>
        <w:t>McNally v. United States</w:t>
      </w:r>
      <w:r w:rsidRPr="001E3097">
        <w:rPr>
          <w:rFonts w:ascii="Garamond" w:eastAsia="Times New Roman" w:hAnsi="Garamond" w:cs="Times New Roman"/>
          <w:sz w:val="25"/>
          <w:szCs w:val="25"/>
        </w:rPr>
        <w:t xml:space="preserve">, 483 U.S. 350, 360 (1987). This rule applies when a statute with criminal sanctions is applied in a noncriminal context, to ensure consistent application of the law. </w:t>
      </w:r>
      <w:r w:rsidRPr="00902E74">
        <w:rPr>
          <w:rFonts w:ascii="Garamond" w:eastAsia="Times New Roman" w:hAnsi="Garamond" w:cs="Times New Roman"/>
          <w:sz w:val="25"/>
          <w:szCs w:val="25"/>
          <w:u w:val="single"/>
        </w:rPr>
        <w:t>See</w:t>
      </w:r>
      <w:r w:rsidRPr="001E3097">
        <w:rPr>
          <w:rFonts w:ascii="Garamond" w:eastAsia="Times New Roman" w:hAnsi="Garamond" w:cs="Times New Roman"/>
          <w:sz w:val="25"/>
          <w:szCs w:val="25"/>
        </w:rPr>
        <w:t xml:space="preserve"> </w:t>
      </w:r>
      <w:r w:rsidRPr="001E3097">
        <w:rPr>
          <w:rFonts w:ascii="Garamond" w:eastAsia="Times New Roman" w:hAnsi="Garamond" w:cs="Times New Roman"/>
          <w:sz w:val="25"/>
          <w:szCs w:val="25"/>
          <w:u w:val="single"/>
        </w:rPr>
        <w:t>Leocal v. Ashcroft</w:t>
      </w:r>
      <w:r w:rsidRPr="001E3097">
        <w:rPr>
          <w:rFonts w:ascii="Garamond" w:eastAsia="Times New Roman" w:hAnsi="Garamond" w:cs="Times New Roman"/>
          <w:sz w:val="25"/>
          <w:szCs w:val="25"/>
        </w:rPr>
        <w:t xml:space="preserve">, 543 U.S. 1, 11 n.8 (2004). Here, the criminal penalties in 17 U.S.C. </w:t>
      </w:r>
      <w:r w:rsidRPr="001E3097">
        <w:rPr>
          <w:rFonts w:ascii="Garamond" w:hAnsi="Garamond" w:cs="Lucida Grande"/>
          <w:color w:val="000000"/>
          <w:sz w:val="25"/>
          <w:szCs w:val="25"/>
        </w:rPr>
        <w:t>§ 506 mandate the application of the rule of lenity, such</w:t>
      </w:r>
      <w:r w:rsidRPr="001E3097">
        <w:rPr>
          <w:rFonts w:ascii="Garamond" w:eastAsia="Times New Roman" w:hAnsi="Garamond" w:cs="Times New Roman"/>
          <w:sz w:val="25"/>
          <w:szCs w:val="25"/>
        </w:rPr>
        <w:t xml:space="preserve"> that the Court should not penalize </w:t>
      </w:r>
      <w:r w:rsidR="0013193C">
        <w:rPr>
          <w:rFonts w:ascii="Garamond" w:eastAsia="Times New Roman" w:hAnsi="Garamond" w:cs="Times New Roman"/>
          <w:sz w:val="25"/>
          <w:szCs w:val="25"/>
        </w:rPr>
        <w:t xml:space="preserve">Defendants for copyright infringement. If there is ambiguity </w:t>
      </w:r>
      <w:r w:rsidR="00A04C9E">
        <w:rPr>
          <w:rFonts w:ascii="Garamond" w:eastAsia="Times New Roman" w:hAnsi="Garamond" w:cs="Times New Roman"/>
          <w:sz w:val="25"/>
          <w:szCs w:val="25"/>
        </w:rPr>
        <w:t>in the statutory language, this</w:t>
      </w:r>
      <w:r w:rsidRPr="001E3097">
        <w:rPr>
          <w:rFonts w:ascii="Garamond" w:eastAsia="Times New Roman" w:hAnsi="Garamond" w:cs="Times New Roman"/>
          <w:sz w:val="25"/>
          <w:szCs w:val="25"/>
        </w:rPr>
        <w:t xml:space="preserve"> rule urge</w:t>
      </w:r>
      <w:r w:rsidR="0013193C">
        <w:rPr>
          <w:rFonts w:ascii="Garamond" w:eastAsia="Times New Roman" w:hAnsi="Garamond" w:cs="Times New Roman"/>
          <w:sz w:val="25"/>
          <w:szCs w:val="25"/>
        </w:rPr>
        <w:t xml:space="preserve">s this Court </w:t>
      </w:r>
      <w:r w:rsidRPr="001E3097">
        <w:rPr>
          <w:rFonts w:ascii="Garamond" w:eastAsia="Times New Roman" w:hAnsi="Garamond" w:cs="Times New Roman"/>
          <w:sz w:val="25"/>
          <w:szCs w:val="25"/>
        </w:rPr>
        <w:t>to</w:t>
      </w:r>
      <w:r w:rsidR="0013193C">
        <w:rPr>
          <w:rFonts w:ascii="Garamond" w:eastAsia="Times New Roman" w:hAnsi="Garamond" w:cs="Times New Roman"/>
          <w:sz w:val="25"/>
          <w:szCs w:val="25"/>
        </w:rPr>
        <w:t xml:space="preserve"> nonetheless</w:t>
      </w:r>
      <w:r w:rsidRPr="001E3097">
        <w:rPr>
          <w:rFonts w:ascii="Garamond" w:eastAsia="Times New Roman" w:hAnsi="Garamond" w:cs="Times New Roman"/>
          <w:sz w:val="25"/>
          <w:szCs w:val="25"/>
        </w:rPr>
        <w:t xml:space="preserve"> grant Defendants Elizabeth Lime’s and TinyTV’s motion to dismiss. </w:t>
      </w:r>
    </w:p>
    <w:p w14:paraId="33EBAAD2" w14:textId="77777777" w:rsidR="00290998" w:rsidRPr="001E3097" w:rsidRDefault="00290998" w:rsidP="0013193C">
      <w:pPr>
        <w:spacing w:line="480" w:lineRule="auto"/>
        <w:rPr>
          <w:rFonts w:ascii="Garamond" w:eastAsia="Times New Roman" w:hAnsi="Garamond" w:cs="Times New Roman"/>
          <w:sz w:val="25"/>
          <w:szCs w:val="25"/>
        </w:rPr>
      </w:pPr>
    </w:p>
    <w:p w14:paraId="6BFF4EA5" w14:textId="3C790A3A" w:rsidR="003E3A81" w:rsidRPr="001E3097" w:rsidRDefault="003E3A81" w:rsidP="003E3A81">
      <w:pPr>
        <w:spacing w:line="480" w:lineRule="auto"/>
        <w:jc w:val="center"/>
        <w:rPr>
          <w:rFonts w:ascii="Garamond" w:eastAsia="Times New Roman" w:hAnsi="Garamond" w:cs="Times New Roman"/>
          <w:b/>
          <w:sz w:val="25"/>
          <w:szCs w:val="25"/>
        </w:rPr>
      </w:pPr>
      <w:r w:rsidRPr="001E3097">
        <w:rPr>
          <w:rFonts w:ascii="Garamond" w:eastAsia="Times New Roman" w:hAnsi="Garamond" w:cs="Times New Roman"/>
          <w:b/>
          <w:sz w:val="25"/>
          <w:szCs w:val="25"/>
        </w:rPr>
        <w:t>CONCLUSION</w:t>
      </w:r>
    </w:p>
    <w:p w14:paraId="5AEE1852" w14:textId="0BD4B85C" w:rsidR="007F214E" w:rsidRPr="001E3097" w:rsidRDefault="00E81D79" w:rsidP="00E81D79">
      <w:pPr>
        <w:spacing w:line="480" w:lineRule="auto"/>
        <w:rPr>
          <w:rFonts w:ascii="Garamond" w:eastAsia="Times New Roman" w:hAnsi="Garamond" w:cs="Times New Roman"/>
          <w:sz w:val="25"/>
          <w:szCs w:val="25"/>
        </w:rPr>
      </w:pPr>
      <w:r w:rsidRPr="001E3097">
        <w:rPr>
          <w:rFonts w:ascii="Garamond" w:eastAsia="Times New Roman" w:hAnsi="Garamond" w:cs="Times New Roman"/>
          <w:sz w:val="25"/>
          <w:szCs w:val="25"/>
        </w:rPr>
        <w:tab/>
      </w:r>
      <w:r w:rsidR="00B945EE" w:rsidRPr="001E3097">
        <w:rPr>
          <w:rFonts w:ascii="Garamond" w:eastAsia="Times New Roman" w:hAnsi="Garamond" w:cs="Times New Roman"/>
          <w:sz w:val="25"/>
          <w:szCs w:val="25"/>
        </w:rPr>
        <w:t xml:space="preserve">This case presents the Court with a dispute between a large media company and an independent writer of screenplays. Plaintiff’s proffered remedy would be to enhance the bargaining power of sophisticated dealers, while rejecting the plain language of the statute and confounding Congressional purpose in protecting artists and </w:t>
      </w:r>
      <w:r w:rsidR="00616342" w:rsidRPr="001E3097">
        <w:rPr>
          <w:rFonts w:ascii="Garamond" w:eastAsia="Times New Roman" w:hAnsi="Garamond" w:cs="Times New Roman"/>
          <w:sz w:val="25"/>
          <w:szCs w:val="25"/>
        </w:rPr>
        <w:t>enhancing</w:t>
      </w:r>
      <w:r w:rsidR="00B945EE" w:rsidRPr="001E3097">
        <w:rPr>
          <w:rFonts w:ascii="Garamond" w:eastAsia="Times New Roman" w:hAnsi="Garamond" w:cs="Times New Roman"/>
          <w:sz w:val="25"/>
          <w:szCs w:val="25"/>
        </w:rPr>
        <w:t xml:space="preserve"> predictability. </w:t>
      </w:r>
      <w:r w:rsidR="007F214E" w:rsidRPr="001E3097">
        <w:rPr>
          <w:rFonts w:ascii="Garamond" w:eastAsia="Times New Roman" w:hAnsi="Garamond" w:cs="Times New Roman"/>
          <w:sz w:val="25"/>
          <w:szCs w:val="25"/>
        </w:rPr>
        <w:t xml:space="preserve">The Second Circuit in </w:t>
      </w:r>
      <w:r w:rsidR="007F214E" w:rsidRPr="001E3097">
        <w:rPr>
          <w:rFonts w:ascii="Garamond" w:eastAsia="Times New Roman" w:hAnsi="Garamond" w:cs="Times New Roman"/>
          <w:sz w:val="25"/>
          <w:szCs w:val="25"/>
          <w:u w:val="single"/>
        </w:rPr>
        <w:t>Dumas</w:t>
      </w:r>
      <w:r w:rsidR="009E6030">
        <w:rPr>
          <w:rFonts w:ascii="Garamond" w:eastAsia="Times New Roman" w:hAnsi="Garamond" w:cs="Times New Roman"/>
          <w:sz w:val="25"/>
          <w:szCs w:val="25"/>
        </w:rPr>
        <w:t xml:space="preserve"> </w:t>
      </w:r>
      <w:r w:rsidR="007F214E" w:rsidRPr="001E3097">
        <w:rPr>
          <w:rFonts w:ascii="Garamond" w:eastAsia="Times New Roman" w:hAnsi="Garamond" w:cs="Times New Roman"/>
          <w:sz w:val="25"/>
          <w:szCs w:val="25"/>
        </w:rPr>
        <w:t>conceded “perhaps this rule needs further testing in the crucible of future cases”. 53 F.3d at 559</w:t>
      </w:r>
      <w:r w:rsidR="00EB3376" w:rsidRPr="001E3097">
        <w:rPr>
          <w:rFonts w:ascii="Garamond" w:eastAsia="Times New Roman" w:hAnsi="Garamond" w:cs="Times New Roman"/>
          <w:sz w:val="25"/>
          <w:szCs w:val="25"/>
        </w:rPr>
        <w:t xml:space="preserve"> (quoting </w:t>
      </w:r>
      <w:r w:rsidR="00EB3376" w:rsidRPr="001E3097">
        <w:rPr>
          <w:rFonts w:ascii="Garamond" w:hAnsi="Garamond" w:cs="Lucida Grande"/>
          <w:color w:val="000000"/>
          <w:sz w:val="25"/>
          <w:szCs w:val="25"/>
        </w:rPr>
        <w:t xml:space="preserve">1 </w:t>
      </w:r>
      <w:r w:rsidR="00EB3376" w:rsidRPr="001E3097">
        <w:rPr>
          <w:rFonts w:ascii="Garamond" w:hAnsi="Garamond" w:cs="Lucida Grande"/>
          <w:color w:val="000000"/>
          <w:sz w:val="25"/>
          <w:szCs w:val="25"/>
          <w:u w:val="single"/>
        </w:rPr>
        <w:t>Nimmer on Copyright</w:t>
      </w:r>
      <w:r w:rsidR="00EB3376" w:rsidRPr="001E3097">
        <w:rPr>
          <w:rFonts w:ascii="Garamond" w:hAnsi="Garamond" w:cs="Lucida Grande"/>
          <w:color w:val="000000"/>
          <w:sz w:val="25"/>
          <w:szCs w:val="25"/>
        </w:rPr>
        <w:t xml:space="preserve"> § 5.03[B][2][b])</w:t>
      </w:r>
      <w:r w:rsidR="00616342" w:rsidRPr="001E3097">
        <w:rPr>
          <w:rFonts w:ascii="Garamond" w:eastAsia="Times New Roman" w:hAnsi="Garamond" w:cs="Times New Roman"/>
          <w:sz w:val="25"/>
          <w:szCs w:val="25"/>
        </w:rPr>
        <w:t xml:space="preserve">. </w:t>
      </w:r>
      <w:r w:rsidR="00135448" w:rsidRPr="001E3097">
        <w:rPr>
          <w:rFonts w:ascii="Garamond" w:eastAsia="Times New Roman" w:hAnsi="Garamond" w:cs="Times New Roman"/>
          <w:sz w:val="25"/>
          <w:szCs w:val="25"/>
        </w:rPr>
        <w:t xml:space="preserve">The instant case presents </w:t>
      </w:r>
      <w:r w:rsidR="00EB3376" w:rsidRPr="001E3097">
        <w:rPr>
          <w:rFonts w:ascii="Garamond" w:eastAsia="Times New Roman" w:hAnsi="Garamond" w:cs="Times New Roman"/>
          <w:sz w:val="25"/>
          <w:szCs w:val="25"/>
        </w:rPr>
        <w:t>such a</w:t>
      </w:r>
      <w:r w:rsidR="00135448" w:rsidRPr="001E3097">
        <w:rPr>
          <w:rFonts w:ascii="Garamond" w:eastAsia="Times New Roman" w:hAnsi="Garamond" w:cs="Times New Roman"/>
          <w:sz w:val="25"/>
          <w:szCs w:val="25"/>
        </w:rPr>
        <w:t xml:space="preserve"> crucible, and </w:t>
      </w:r>
      <w:r w:rsidR="00EB3376" w:rsidRPr="001E3097">
        <w:rPr>
          <w:rFonts w:ascii="Garamond" w:eastAsia="Times New Roman" w:hAnsi="Garamond" w:cs="Times New Roman"/>
          <w:sz w:val="25"/>
          <w:szCs w:val="25"/>
        </w:rPr>
        <w:t>demonstrates</w:t>
      </w:r>
      <w:r w:rsidR="00135448" w:rsidRPr="001E3097">
        <w:rPr>
          <w:rFonts w:ascii="Garamond" w:eastAsia="Times New Roman" w:hAnsi="Garamond" w:cs="Times New Roman"/>
          <w:sz w:val="25"/>
          <w:szCs w:val="25"/>
        </w:rPr>
        <w:t xml:space="preserve"> why the </w:t>
      </w:r>
      <w:r w:rsidR="00135448" w:rsidRPr="001E3097">
        <w:rPr>
          <w:rFonts w:ascii="Garamond" w:eastAsia="Times New Roman" w:hAnsi="Garamond" w:cs="Times New Roman"/>
          <w:sz w:val="25"/>
          <w:szCs w:val="25"/>
          <w:u w:val="single"/>
        </w:rPr>
        <w:t>Dumas</w:t>
      </w:r>
      <w:r w:rsidR="00135448" w:rsidRPr="001E3097">
        <w:rPr>
          <w:rFonts w:ascii="Garamond" w:eastAsia="Times New Roman" w:hAnsi="Garamond" w:cs="Times New Roman"/>
          <w:sz w:val="25"/>
          <w:szCs w:val="25"/>
        </w:rPr>
        <w:t xml:space="preserve"> </w:t>
      </w:r>
      <w:r w:rsidR="003824D7" w:rsidRPr="001E3097">
        <w:rPr>
          <w:rFonts w:ascii="Garamond" w:eastAsia="Times New Roman" w:hAnsi="Garamond" w:cs="Times New Roman"/>
          <w:sz w:val="25"/>
          <w:szCs w:val="25"/>
        </w:rPr>
        <w:t>rule</w:t>
      </w:r>
      <w:r w:rsidR="00135448" w:rsidRPr="001E3097">
        <w:rPr>
          <w:rFonts w:ascii="Garamond" w:eastAsia="Times New Roman" w:hAnsi="Garamond" w:cs="Times New Roman"/>
          <w:sz w:val="25"/>
          <w:szCs w:val="25"/>
        </w:rPr>
        <w:t xml:space="preserve"> must crack under its own </w:t>
      </w:r>
      <w:r w:rsidR="00EB3376" w:rsidRPr="001E3097">
        <w:rPr>
          <w:rFonts w:ascii="Garamond" w:eastAsia="Times New Roman" w:hAnsi="Garamond" w:cs="Times New Roman"/>
          <w:sz w:val="25"/>
          <w:szCs w:val="25"/>
        </w:rPr>
        <w:t>flaws</w:t>
      </w:r>
      <w:r w:rsidR="00135448" w:rsidRPr="001E3097">
        <w:rPr>
          <w:rFonts w:ascii="Garamond" w:eastAsia="Times New Roman" w:hAnsi="Garamond" w:cs="Times New Roman"/>
          <w:sz w:val="25"/>
          <w:szCs w:val="25"/>
        </w:rPr>
        <w:t xml:space="preserve">. </w:t>
      </w:r>
    </w:p>
    <w:p w14:paraId="03F6A456" w14:textId="309FB315" w:rsidR="00135448" w:rsidRPr="001E3097" w:rsidRDefault="00135448" w:rsidP="00E81D79">
      <w:pPr>
        <w:spacing w:line="480" w:lineRule="auto"/>
        <w:rPr>
          <w:rFonts w:ascii="Garamond" w:eastAsia="Times New Roman" w:hAnsi="Garamond" w:cs="Times New Roman"/>
          <w:sz w:val="25"/>
          <w:szCs w:val="25"/>
        </w:rPr>
      </w:pPr>
      <w:r w:rsidRPr="001E3097">
        <w:rPr>
          <w:rFonts w:ascii="Garamond" w:eastAsia="Times New Roman" w:hAnsi="Garamond" w:cs="Times New Roman"/>
          <w:sz w:val="25"/>
          <w:szCs w:val="25"/>
        </w:rPr>
        <w:tab/>
      </w:r>
      <w:r w:rsidR="003824D7" w:rsidRPr="001E3097">
        <w:rPr>
          <w:rFonts w:ascii="Garamond" w:eastAsia="Times New Roman" w:hAnsi="Garamond" w:cs="Times New Roman"/>
          <w:sz w:val="25"/>
          <w:szCs w:val="25"/>
        </w:rPr>
        <w:t xml:space="preserve">Allowing retroactive work made for hire agreements not only </w:t>
      </w:r>
      <w:r w:rsidR="00EB3376" w:rsidRPr="001E3097">
        <w:rPr>
          <w:rFonts w:ascii="Garamond" w:eastAsia="Times New Roman" w:hAnsi="Garamond" w:cs="Times New Roman"/>
          <w:sz w:val="25"/>
          <w:szCs w:val="25"/>
        </w:rPr>
        <w:t>opposes</w:t>
      </w:r>
      <w:r w:rsidR="003824D7" w:rsidRPr="001E3097">
        <w:rPr>
          <w:rFonts w:ascii="Garamond" w:eastAsia="Times New Roman" w:hAnsi="Garamond" w:cs="Times New Roman"/>
          <w:sz w:val="25"/>
          <w:szCs w:val="25"/>
        </w:rPr>
        <w:t xml:space="preserve"> the plain meaning of the statute. It produces the problem of multiple a</w:t>
      </w:r>
      <w:r w:rsidR="00032132">
        <w:rPr>
          <w:rFonts w:ascii="Garamond" w:eastAsia="Times New Roman" w:hAnsi="Garamond" w:cs="Times New Roman"/>
          <w:sz w:val="25"/>
          <w:szCs w:val="25"/>
        </w:rPr>
        <w:t>uthors at</w:t>
      </w:r>
      <w:r w:rsidR="003824D7" w:rsidRPr="001E3097">
        <w:rPr>
          <w:rFonts w:ascii="Garamond" w:eastAsia="Times New Roman" w:hAnsi="Garamond" w:cs="Times New Roman"/>
          <w:sz w:val="25"/>
          <w:szCs w:val="25"/>
        </w:rPr>
        <w:t xml:space="preserve"> different times, creates redundancy in the Copyright Act, and </w:t>
      </w:r>
      <w:r w:rsidR="00126B94" w:rsidRPr="001E3097">
        <w:rPr>
          <w:rFonts w:ascii="Garamond" w:eastAsia="Times New Roman" w:hAnsi="Garamond" w:cs="Times New Roman"/>
          <w:sz w:val="25"/>
          <w:szCs w:val="25"/>
        </w:rPr>
        <w:t>opens a loophole for the exploitation of authors of works of visual ar</w:t>
      </w:r>
      <w:r w:rsidR="00EB3376" w:rsidRPr="001E3097">
        <w:rPr>
          <w:rFonts w:ascii="Garamond" w:eastAsia="Times New Roman" w:hAnsi="Garamond" w:cs="Times New Roman"/>
          <w:sz w:val="25"/>
          <w:szCs w:val="25"/>
        </w:rPr>
        <w:t>t. The Plaintiff’s legal theory</w:t>
      </w:r>
      <w:r w:rsidR="00126B94" w:rsidRPr="001E3097">
        <w:rPr>
          <w:rFonts w:ascii="Garamond" w:eastAsia="Times New Roman" w:hAnsi="Garamond" w:cs="Times New Roman"/>
          <w:sz w:val="25"/>
          <w:szCs w:val="25"/>
        </w:rPr>
        <w:t xml:space="preserve"> direct</w:t>
      </w:r>
      <w:r w:rsidR="00EB3376" w:rsidRPr="001E3097">
        <w:rPr>
          <w:rFonts w:ascii="Garamond" w:eastAsia="Times New Roman" w:hAnsi="Garamond" w:cs="Times New Roman"/>
          <w:sz w:val="25"/>
          <w:szCs w:val="25"/>
        </w:rPr>
        <w:t>ly</w:t>
      </w:r>
      <w:r w:rsidR="00126B94" w:rsidRPr="001E3097">
        <w:rPr>
          <w:rFonts w:ascii="Garamond" w:eastAsia="Times New Roman" w:hAnsi="Garamond" w:cs="Times New Roman"/>
          <w:sz w:val="25"/>
          <w:szCs w:val="25"/>
        </w:rPr>
        <w:t xml:space="preserve"> coll</w:t>
      </w:r>
      <w:r w:rsidR="00EB3376" w:rsidRPr="001E3097">
        <w:rPr>
          <w:rFonts w:ascii="Garamond" w:eastAsia="Times New Roman" w:hAnsi="Garamond" w:cs="Times New Roman"/>
          <w:sz w:val="25"/>
          <w:szCs w:val="25"/>
        </w:rPr>
        <w:t xml:space="preserve">ides </w:t>
      </w:r>
      <w:r w:rsidR="00126B94" w:rsidRPr="001E3097">
        <w:rPr>
          <w:rFonts w:ascii="Garamond" w:eastAsia="Times New Roman" w:hAnsi="Garamond" w:cs="Times New Roman"/>
          <w:sz w:val="25"/>
          <w:szCs w:val="25"/>
        </w:rPr>
        <w:t>with the established Congressional purposes of enhancing predict</w:t>
      </w:r>
      <w:r w:rsidR="00032132">
        <w:rPr>
          <w:rFonts w:ascii="Garamond" w:eastAsia="Times New Roman" w:hAnsi="Garamond" w:cs="Times New Roman"/>
          <w:sz w:val="25"/>
          <w:szCs w:val="25"/>
        </w:rPr>
        <w:t>ability in copyright,</w:t>
      </w:r>
      <w:r w:rsidR="00126B94" w:rsidRPr="001E3097">
        <w:rPr>
          <w:rFonts w:ascii="Garamond" w:eastAsia="Times New Roman" w:hAnsi="Garamond" w:cs="Times New Roman"/>
          <w:sz w:val="25"/>
          <w:szCs w:val="25"/>
        </w:rPr>
        <w:t xml:space="preserve"> and would </w:t>
      </w:r>
      <w:r w:rsidR="00032132">
        <w:rPr>
          <w:rFonts w:ascii="Garamond" w:eastAsia="Times New Roman" w:hAnsi="Garamond" w:cs="Times New Roman"/>
          <w:sz w:val="25"/>
          <w:szCs w:val="25"/>
        </w:rPr>
        <w:t>urge</w:t>
      </w:r>
      <w:r w:rsidR="00126B94" w:rsidRPr="001E3097">
        <w:rPr>
          <w:rFonts w:ascii="Garamond" w:eastAsia="Times New Roman" w:hAnsi="Garamond" w:cs="Times New Roman"/>
          <w:sz w:val="25"/>
          <w:szCs w:val="25"/>
        </w:rPr>
        <w:t xml:space="preserve"> this Court to erode certainty in whom to negotiate with, how long until </w:t>
      </w:r>
      <w:r w:rsidR="00032132">
        <w:rPr>
          <w:rFonts w:ascii="Garamond" w:eastAsia="Times New Roman" w:hAnsi="Garamond" w:cs="Times New Roman"/>
          <w:sz w:val="25"/>
          <w:szCs w:val="25"/>
        </w:rPr>
        <w:t>copyright expires, and even whether</w:t>
      </w:r>
      <w:r w:rsidR="00126B94" w:rsidRPr="001E3097">
        <w:rPr>
          <w:rFonts w:ascii="Garamond" w:eastAsia="Times New Roman" w:hAnsi="Garamond" w:cs="Times New Roman"/>
          <w:sz w:val="25"/>
          <w:szCs w:val="25"/>
        </w:rPr>
        <w:t xml:space="preserve"> prior agreements for works made for hire are properly executed. Even without the overwhelming legal and policy benefits of </w:t>
      </w:r>
      <w:r w:rsidR="00456737" w:rsidRPr="001E3097">
        <w:rPr>
          <w:rFonts w:ascii="Garamond" w:eastAsia="Times New Roman" w:hAnsi="Garamond" w:cs="Times New Roman"/>
          <w:sz w:val="25"/>
          <w:szCs w:val="25"/>
        </w:rPr>
        <w:t>rejecting Plaintiff’s scheme</w:t>
      </w:r>
      <w:r w:rsidR="00126B94" w:rsidRPr="001E3097">
        <w:rPr>
          <w:rFonts w:ascii="Garamond" w:eastAsia="Times New Roman" w:hAnsi="Garamond" w:cs="Times New Roman"/>
          <w:sz w:val="25"/>
          <w:szCs w:val="25"/>
        </w:rPr>
        <w:t>, the tipping point may be this Court’s duty to extend</w:t>
      </w:r>
      <w:r w:rsidR="00AA0453" w:rsidRPr="001E3097">
        <w:rPr>
          <w:rFonts w:ascii="Garamond" w:eastAsia="Times New Roman" w:hAnsi="Garamond" w:cs="Times New Roman"/>
          <w:sz w:val="25"/>
          <w:szCs w:val="25"/>
        </w:rPr>
        <w:t xml:space="preserve"> at least</w:t>
      </w:r>
      <w:r w:rsidR="00126B94" w:rsidRPr="001E3097">
        <w:rPr>
          <w:rFonts w:ascii="Garamond" w:eastAsia="Times New Roman" w:hAnsi="Garamond" w:cs="Times New Roman"/>
          <w:sz w:val="25"/>
          <w:szCs w:val="25"/>
        </w:rPr>
        <w:t xml:space="preserve"> </w:t>
      </w:r>
      <w:r w:rsidR="00126B94" w:rsidRPr="001E3097">
        <w:rPr>
          <w:rFonts w:ascii="Garamond" w:eastAsia="Times New Roman" w:hAnsi="Garamond" w:cs="Times New Roman"/>
          <w:i/>
          <w:sz w:val="25"/>
          <w:szCs w:val="25"/>
        </w:rPr>
        <w:t>de minimis</w:t>
      </w:r>
      <w:r w:rsidR="00126B94" w:rsidRPr="001E3097">
        <w:rPr>
          <w:rFonts w:ascii="Garamond" w:eastAsia="Times New Roman" w:hAnsi="Garamond" w:cs="Times New Roman"/>
          <w:sz w:val="25"/>
          <w:szCs w:val="25"/>
        </w:rPr>
        <w:t xml:space="preserve"> deferen</w:t>
      </w:r>
      <w:r w:rsidR="00AA0453" w:rsidRPr="001E3097">
        <w:rPr>
          <w:rFonts w:ascii="Garamond" w:eastAsia="Times New Roman" w:hAnsi="Garamond" w:cs="Times New Roman"/>
          <w:sz w:val="25"/>
          <w:szCs w:val="25"/>
        </w:rPr>
        <w:t xml:space="preserve">ce to the </w:t>
      </w:r>
      <w:r w:rsidR="00456737" w:rsidRPr="001E3097">
        <w:rPr>
          <w:rFonts w:ascii="Garamond" w:eastAsia="Times New Roman" w:hAnsi="Garamond" w:cs="Times New Roman"/>
          <w:sz w:val="25"/>
          <w:szCs w:val="25"/>
        </w:rPr>
        <w:t>long-held understanding of the Copyright Office.</w:t>
      </w:r>
      <w:r w:rsidR="00AA0453" w:rsidRPr="001E3097">
        <w:rPr>
          <w:rFonts w:ascii="Garamond" w:eastAsia="Times New Roman" w:hAnsi="Garamond" w:cs="Times New Roman"/>
          <w:sz w:val="25"/>
          <w:szCs w:val="25"/>
        </w:rPr>
        <w:t xml:space="preserve"> </w:t>
      </w:r>
      <w:r w:rsidR="00126B94" w:rsidRPr="001E3097">
        <w:rPr>
          <w:rFonts w:ascii="Garamond" w:eastAsia="Times New Roman" w:hAnsi="Garamond" w:cs="Times New Roman"/>
          <w:sz w:val="25"/>
          <w:szCs w:val="25"/>
        </w:rPr>
        <w:t xml:space="preserve"> </w:t>
      </w:r>
    </w:p>
    <w:p w14:paraId="4E2EA2A0" w14:textId="60BD4D16" w:rsidR="001E3097" w:rsidRPr="007A7B8B" w:rsidRDefault="0013193C" w:rsidP="007A7B8B">
      <w:pPr>
        <w:spacing w:line="480" w:lineRule="auto"/>
        <w:ind w:firstLine="720"/>
        <w:rPr>
          <w:rFonts w:ascii="Garamond" w:eastAsia="Times New Roman" w:hAnsi="Garamond" w:cs="Times New Roman"/>
          <w:sz w:val="25"/>
          <w:szCs w:val="25"/>
        </w:rPr>
      </w:pPr>
      <w:r>
        <w:rPr>
          <w:rFonts w:ascii="Garamond" w:eastAsia="Times New Roman" w:hAnsi="Garamond" w:cs="Times New Roman"/>
          <w:sz w:val="25"/>
          <w:szCs w:val="25"/>
        </w:rPr>
        <w:t>Alternatively, Defendant</w:t>
      </w:r>
      <w:r w:rsidR="007F214E" w:rsidRPr="001E3097">
        <w:rPr>
          <w:rFonts w:ascii="Garamond" w:eastAsia="Times New Roman" w:hAnsi="Garamond" w:cs="Times New Roman"/>
          <w:sz w:val="25"/>
          <w:szCs w:val="25"/>
        </w:rPr>
        <w:t xml:space="preserve">s propose </w:t>
      </w:r>
      <w:r>
        <w:rPr>
          <w:rFonts w:ascii="Garamond" w:eastAsia="Times New Roman" w:hAnsi="Garamond" w:cs="Times New Roman"/>
          <w:sz w:val="25"/>
          <w:szCs w:val="25"/>
        </w:rPr>
        <w:t>a</w:t>
      </w:r>
      <w:r w:rsidR="00AA0453" w:rsidRPr="001E3097">
        <w:rPr>
          <w:rFonts w:ascii="Garamond" w:eastAsia="Times New Roman" w:hAnsi="Garamond" w:cs="Times New Roman"/>
          <w:sz w:val="25"/>
          <w:szCs w:val="25"/>
        </w:rPr>
        <w:t xml:space="preserve"> simple </w:t>
      </w:r>
      <w:r w:rsidR="00EB3376" w:rsidRPr="001E3097">
        <w:rPr>
          <w:rFonts w:ascii="Garamond" w:eastAsia="Times New Roman" w:hAnsi="Garamond" w:cs="Times New Roman"/>
          <w:sz w:val="25"/>
          <w:szCs w:val="25"/>
        </w:rPr>
        <w:t>bright-line rule</w:t>
      </w:r>
      <w:r w:rsidR="00456737" w:rsidRPr="001E3097">
        <w:rPr>
          <w:rFonts w:ascii="Garamond" w:eastAsia="Times New Roman" w:hAnsi="Garamond" w:cs="Times New Roman"/>
          <w:sz w:val="25"/>
          <w:szCs w:val="25"/>
        </w:rPr>
        <w:t xml:space="preserve"> requiring a prior signed </w:t>
      </w:r>
      <w:r w:rsidR="00032132">
        <w:rPr>
          <w:rFonts w:ascii="Garamond" w:eastAsia="Times New Roman" w:hAnsi="Garamond" w:cs="Times New Roman"/>
          <w:sz w:val="25"/>
          <w:szCs w:val="25"/>
        </w:rPr>
        <w:t xml:space="preserve">written </w:t>
      </w:r>
      <w:r w:rsidR="00456737" w:rsidRPr="001E3097">
        <w:rPr>
          <w:rFonts w:ascii="Garamond" w:eastAsia="Times New Roman" w:hAnsi="Garamond" w:cs="Times New Roman"/>
          <w:sz w:val="25"/>
          <w:szCs w:val="25"/>
        </w:rPr>
        <w:t>agreement in works made for hire, in consonance with the Copyright Act’s plain language interpretation by the Ninth Circui</w:t>
      </w:r>
      <w:r w:rsidR="00EB3376" w:rsidRPr="001E3097">
        <w:rPr>
          <w:rFonts w:ascii="Garamond" w:eastAsia="Times New Roman" w:hAnsi="Garamond" w:cs="Times New Roman"/>
          <w:sz w:val="25"/>
          <w:szCs w:val="25"/>
        </w:rPr>
        <w:t xml:space="preserve">t and the </w:t>
      </w:r>
      <w:r w:rsidR="001525A6" w:rsidRPr="001E3097">
        <w:rPr>
          <w:rFonts w:ascii="Garamond" w:eastAsia="Times New Roman" w:hAnsi="Garamond" w:cs="Times New Roman"/>
          <w:sz w:val="25"/>
          <w:szCs w:val="25"/>
        </w:rPr>
        <w:t>reasoned</w:t>
      </w:r>
      <w:r w:rsidR="00EB3376" w:rsidRPr="001E3097">
        <w:rPr>
          <w:rFonts w:ascii="Garamond" w:eastAsia="Times New Roman" w:hAnsi="Garamond" w:cs="Times New Roman"/>
          <w:sz w:val="25"/>
          <w:szCs w:val="25"/>
        </w:rPr>
        <w:t xml:space="preserve"> policy analysis</w:t>
      </w:r>
      <w:r w:rsidR="00456737" w:rsidRPr="001E3097">
        <w:rPr>
          <w:rFonts w:ascii="Garamond" w:eastAsia="Times New Roman" w:hAnsi="Garamond" w:cs="Times New Roman"/>
          <w:sz w:val="25"/>
          <w:szCs w:val="25"/>
        </w:rPr>
        <w:t xml:space="preserve"> of the Seventh Circuit. The Court should adopt a</w:t>
      </w:r>
      <w:r w:rsidR="00F674C4">
        <w:rPr>
          <w:rFonts w:ascii="Garamond" w:eastAsia="Times New Roman" w:hAnsi="Garamond" w:cs="Times New Roman"/>
          <w:sz w:val="25"/>
          <w:szCs w:val="25"/>
        </w:rPr>
        <w:t xml:space="preserve"> clear,</w:t>
      </w:r>
      <w:r w:rsidR="00456737" w:rsidRPr="001E3097">
        <w:rPr>
          <w:rFonts w:ascii="Garamond" w:eastAsia="Times New Roman" w:hAnsi="Garamond" w:cs="Times New Roman"/>
          <w:sz w:val="25"/>
          <w:szCs w:val="25"/>
        </w:rPr>
        <w:t xml:space="preserve"> modest rule interpreting 17 U.S.C. 101(2) to require a signed written agreement by both parties before the creation of the work, and therefore dismiss Plaintiff’s action for failure to state a claim under which relief </w:t>
      </w:r>
      <w:r w:rsidR="00195017" w:rsidRPr="001E3097">
        <w:rPr>
          <w:rFonts w:ascii="Garamond" w:eastAsia="Times New Roman" w:hAnsi="Garamond" w:cs="Times New Roman"/>
          <w:sz w:val="25"/>
          <w:szCs w:val="25"/>
        </w:rPr>
        <w:t>can be</w:t>
      </w:r>
      <w:r w:rsidR="001525A6" w:rsidRPr="001E3097">
        <w:rPr>
          <w:rFonts w:ascii="Garamond" w:eastAsia="Times New Roman" w:hAnsi="Garamond" w:cs="Times New Roman"/>
          <w:sz w:val="25"/>
          <w:szCs w:val="25"/>
        </w:rPr>
        <w:t xml:space="preserve"> granted. </w:t>
      </w:r>
    </w:p>
    <w:p w14:paraId="6E21B80A" w14:textId="77777777" w:rsidR="001E3097" w:rsidRPr="001E3097" w:rsidRDefault="001E3097" w:rsidP="0086387D">
      <w:pPr>
        <w:spacing w:line="360" w:lineRule="auto"/>
        <w:rPr>
          <w:rFonts w:ascii="Garamond" w:hAnsi="Garamond"/>
          <w:sz w:val="25"/>
          <w:szCs w:val="25"/>
        </w:rPr>
      </w:pPr>
    </w:p>
    <w:p w14:paraId="7BCD183A" w14:textId="07C2CDD5" w:rsidR="0086387D" w:rsidRDefault="0086387D" w:rsidP="0086387D">
      <w:pPr>
        <w:spacing w:line="480" w:lineRule="auto"/>
        <w:rPr>
          <w:rFonts w:ascii="Garamond" w:hAnsi="Garamond"/>
          <w:sz w:val="25"/>
          <w:szCs w:val="25"/>
        </w:rPr>
      </w:pPr>
      <w:r w:rsidRPr="001E3097">
        <w:rPr>
          <w:rFonts w:ascii="Garamond" w:hAnsi="Garamond"/>
          <w:sz w:val="25"/>
          <w:szCs w:val="25"/>
        </w:rPr>
        <w:t xml:space="preserve">Dated: </w:t>
      </w:r>
      <w:r w:rsidR="009D4376">
        <w:rPr>
          <w:rFonts w:ascii="Garamond" w:hAnsi="Garamond"/>
          <w:sz w:val="25"/>
          <w:szCs w:val="25"/>
        </w:rPr>
        <w:t>March 21</w:t>
      </w:r>
      <w:r w:rsidRPr="001E3097">
        <w:rPr>
          <w:rFonts w:ascii="Garamond" w:hAnsi="Garamond"/>
          <w:sz w:val="25"/>
          <w:szCs w:val="25"/>
        </w:rPr>
        <w:t>, 2012</w:t>
      </w:r>
    </w:p>
    <w:p w14:paraId="62808004" w14:textId="77777777" w:rsidR="00354A74" w:rsidRPr="001E3097" w:rsidRDefault="00354A74" w:rsidP="0086387D">
      <w:pPr>
        <w:spacing w:line="480" w:lineRule="auto"/>
        <w:rPr>
          <w:rFonts w:ascii="Garamond" w:hAnsi="Garamond"/>
          <w:sz w:val="25"/>
          <w:szCs w:val="25"/>
        </w:rPr>
      </w:pPr>
    </w:p>
    <w:p w14:paraId="2F3FA820" w14:textId="77777777" w:rsidR="0086387D" w:rsidRPr="001E3097" w:rsidRDefault="0086387D" w:rsidP="0086387D">
      <w:pPr>
        <w:spacing w:line="480" w:lineRule="auto"/>
        <w:rPr>
          <w:rFonts w:ascii="Garamond" w:hAnsi="Garamond"/>
          <w:sz w:val="25"/>
          <w:szCs w:val="25"/>
        </w:rPr>
      </w:pPr>
    </w:p>
    <w:p w14:paraId="7C4DFF53" w14:textId="29FF75CE" w:rsidR="0086387D" w:rsidRDefault="0086387D" w:rsidP="0086387D">
      <w:pPr>
        <w:spacing w:line="480" w:lineRule="auto"/>
        <w:rPr>
          <w:rFonts w:ascii="Garamond" w:hAnsi="Garamond"/>
          <w:sz w:val="25"/>
          <w:szCs w:val="25"/>
        </w:rPr>
      </w:pP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t>Respectfully submitted,</w:t>
      </w:r>
    </w:p>
    <w:p w14:paraId="1A3E48EE" w14:textId="77777777" w:rsidR="00354A74" w:rsidRPr="001E3097" w:rsidRDefault="00354A74" w:rsidP="0086387D">
      <w:pPr>
        <w:spacing w:line="480" w:lineRule="auto"/>
        <w:rPr>
          <w:rFonts w:ascii="Garamond" w:hAnsi="Garamond"/>
          <w:sz w:val="25"/>
          <w:szCs w:val="25"/>
        </w:rPr>
      </w:pPr>
    </w:p>
    <w:p w14:paraId="0627672E" w14:textId="0B59A8A5" w:rsidR="0086387D" w:rsidRPr="001E3097" w:rsidRDefault="0086387D" w:rsidP="0086387D">
      <w:pPr>
        <w:rPr>
          <w:rFonts w:ascii="Garamond" w:hAnsi="Garamond"/>
          <w:sz w:val="25"/>
          <w:szCs w:val="25"/>
        </w:rPr>
      </w:pP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00AC0A23">
        <w:rPr>
          <w:rFonts w:ascii="Garamond" w:hAnsi="Garamond"/>
          <w:sz w:val="25"/>
          <w:szCs w:val="25"/>
        </w:rPr>
        <w:t>X</w:t>
      </w:r>
      <w:r w:rsidRPr="001E3097">
        <w:rPr>
          <w:rFonts w:ascii="Garamond" w:hAnsi="Garamond"/>
          <w:sz w:val="25"/>
          <w:szCs w:val="25"/>
        </w:rPr>
        <w:t xml:space="preserve"> &amp; </w:t>
      </w:r>
      <w:r w:rsidR="00AC0A23">
        <w:rPr>
          <w:rFonts w:ascii="Garamond" w:hAnsi="Garamond"/>
          <w:sz w:val="25"/>
          <w:szCs w:val="25"/>
        </w:rPr>
        <w:t>Y</w:t>
      </w:r>
      <w:r w:rsidRPr="001E3097">
        <w:rPr>
          <w:rFonts w:ascii="Garamond" w:hAnsi="Garamond"/>
          <w:sz w:val="25"/>
          <w:szCs w:val="25"/>
        </w:rPr>
        <w:t>, LLP</w:t>
      </w:r>
    </w:p>
    <w:p w14:paraId="30ADF7CD" w14:textId="77777777" w:rsidR="0086387D" w:rsidRPr="001E3097" w:rsidRDefault="0086387D" w:rsidP="0086387D">
      <w:pPr>
        <w:rPr>
          <w:rFonts w:ascii="Garamond" w:hAnsi="Garamond"/>
          <w:sz w:val="25"/>
          <w:szCs w:val="25"/>
        </w:rPr>
      </w:pPr>
    </w:p>
    <w:p w14:paraId="48571EED" w14:textId="77777777" w:rsidR="0086387D" w:rsidRPr="001E3097" w:rsidRDefault="0086387D" w:rsidP="0086387D">
      <w:pPr>
        <w:rPr>
          <w:rFonts w:ascii="Garamond" w:hAnsi="Garamond"/>
          <w:sz w:val="25"/>
          <w:szCs w:val="25"/>
        </w:rPr>
      </w:pPr>
    </w:p>
    <w:p w14:paraId="1D082DC5" w14:textId="77777777" w:rsidR="0086387D" w:rsidRPr="001E3097" w:rsidRDefault="0086387D" w:rsidP="0086387D">
      <w:pPr>
        <w:ind w:right="-810"/>
        <w:rPr>
          <w:rFonts w:ascii="Garamond" w:hAnsi="Garamond"/>
          <w:sz w:val="25"/>
          <w:szCs w:val="25"/>
        </w:rPr>
      </w:pP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t xml:space="preserve">      By:</w:t>
      </w:r>
      <w:r w:rsidRPr="001E3097">
        <w:rPr>
          <w:rFonts w:ascii="Garamond" w:hAnsi="Garamond"/>
          <w:sz w:val="25"/>
          <w:szCs w:val="25"/>
        </w:rPr>
        <w:tab/>
        <w:t>___________________________</w:t>
      </w:r>
    </w:p>
    <w:p w14:paraId="5DD09E2E" w14:textId="5ECB131B" w:rsidR="0086387D" w:rsidRPr="001E3097" w:rsidRDefault="0086387D" w:rsidP="0086387D">
      <w:pPr>
        <w:ind w:right="-810"/>
        <w:rPr>
          <w:rFonts w:ascii="Garamond" w:hAnsi="Garamond"/>
          <w:sz w:val="25"/>
          <w:szCs w:val="25"/>
        </w:rPr>
      </w:pP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00AC0A23">
        <w:rPr>
          <w:rFonts w:ascii="Garamond" w:hAnsi="Garamond"/>
          <w:sz w:val="25"/>
          <w:szCs w:val="25"/>
        </w:rPr>
        <w:t>X Y</w:t>
      </w:r>
      <w:r w:rsidRPr="001E3097">
        <w:rPr>
          <w:rFonts w:ascii="Garamond" w:hAnsi="Garamond"/>
          <w:sz w:val="25"/>
          <w:szCs w:val="25"/>
        </w:rPr>
        <w:t>, Esq. (Atty: No: 112358)</w:t>
      </w:r>
    </w:p>
    <w:p w14:paraId="27512CB8" w14:textId="25F538F3" w:rsidR="0086387D" w:rsidRPr="001E3097" w:rsidRDefault="00354A74" w:rsidP="0086387D">
      <w:pPr>
        <w:ind w:right="-810"/>
        <w:rPr>
          <w:rFonts w:ascii="Garamond" w:hAnsi="Garamond"/>
          <w:sz w:val="25"/>
          <w:szCs w:val="25"/>
        </w:rPr>
      </w:pPr>
      <w:r>
        <w:rPr>
          <w:rFonts w:ascii="Garamond" w:hAnsi="Garamond"/>
          <w:sz w:val="25"/>
          <w:szCs w:val="25"/>
        </w:rPr>
        <w:tab/>
      </w:r>
      <w:r>
        <w:rPr>
          <w:rFonts w:ascii="Garamond" w:hAnsi="Garamond"/>
          <w:sz w:val="25"/>
          <w:szCs w:val="25"/>
        </w:rPr>
        <w:tab/>
      </w:r>
      <w:r>
        <w:rPr>
          <w:rFonts w:ascii="Garamond" w:hAnsi="Garamond"/>
          <w:sz w:val="25"/>
          <w:szCs w:val="25"/>
        </w:rPr>
        <w:tab/>
      </w:r>
      <w:r>
        <w:rPr>
          <w:rFonts w:ascii="Garamond" w:hAnsi="Garamond"/>
          <w:sz w:val="25"/>
          <w:szCs w:val="25"/>
        </w:rPr>
        <w:tab/>
      </w:r>
      <w:r>
        <w:rPr>
          <w:rFonts w:ascii="Garamond" w:hAnsi="Garamond"/>
          <w:sz w:val="25"/>
          <w:szCs w:val="25"/>
        </w:rPr>
        <w:tab/>
      </w:r>
      <w:r>
        <w:rPr>
          <w:rFonts w:ascii="Garamond" w:hAnsi="Garamond"/>
          <w:sz w:val="25"/>
          <w:szCs w:val="25"/>
        </w:rPr>
        <w:tab/>
      </w:r>
      <w:r>
        <w:rPr>
          <w:rFonts w:ascii="Garamond" w:hAnsi="Garamond"/>
          <w:sz w:val="25"/>
          <w:szCs w:val="25"/>
        </w:rPr>
        <w:tab/>
        <w:t>Attorney</w:t>
      </w:r>
      <w:r w:rsidR="0086387D" w:rsidRPr="001E3097">
        <w:rPr>
          <w:rFonts w:ascii="Garamond" w:hAnsi="Garamond"/>
          <w:sz w:val="25"/>
          <w:szCs w:val="25"/>
        </w:rPr>
        <w:t xml:space="preserve"> for Elizabeth Lime and TinyTV, Inc.</w:t>
      </w:r>
    </w:p>
    <w:p w14:paraId="702D58CC" w14:textId="77777777" w:rsidR="0086387D" w:rsidRPr="001E3097" w:rsidRDefault="0086387D" w:rsidP="0086387D">
      <w:pPr>
        <w:ind w:right="-810"/>
        <w:rPr>
          <w:rFonts w:ascii="Garamond" w:hAnsi="Garamond"/>
          <w:sz w:val="25"/>
          <w:szCs w:val="25"/>
        </w:rPr>
      </w:pP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t>50 South Sixth Street</w:t>
      </w:r>
    </w:p>
    <w:p w14:paraId="16B46EAA" w14:textId="77777777" w:rsidR="0086387D" w:rsidRPr="001E3097" w:rsidRDefault="0086387D" w:rsidP="0086387D">
      <w:pPr>
        <w:ind w:right="-810"/>
        <w:rPr>
          <w:rFonts w:ascii="Garamond" w:hAnsi="Garamond"/>
          <w:sz w:val="25"/>
          <w:szCs w:val="25"/>
        </w:rPr>
      </w:pP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t xml:space="preserve">Moot City, Moot </w:t>
      </w:r>
      <w:r w:rsidRPr="001E3097">
        <w:rPr>
          <w:rFonts w:ascii="Garamond" w:eastAsia="Times New Roman" w:hAnsi="Garamond" w:cs="Times New Roman"/>
          <w:color w:val="000000"/>
          <w:sz w:val="25"/>
          <w:szCs w:val="25"/>
          <w:shd w:val="clear" w:color="auto" w:fill="FFFFFF"/>
        </w:rPr>
        <w:t>00000</w:t>
      </w:r>
    </w:p>
    <w:p w14:paraId="2306409C" w14:textId="78727AA8" w:rsidR="0086387D" w:rsidRPr="001E3097" w:rsidRDefault="0086387D" w:rsidP="0086387D">
      <w:pPr>
        <w:ind w:right="-810"/>
        <w:rPr>
          <w:rFonts w:ascii="Garamond" w:hAnsi="Garamond"/>
          <w:sz w:val="25"/>
          <w:szCs w:val="25"/>
        </w:rPr>
      </w:pP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t>(</w:t>
      </w:r>
      <w:r w:rsidR="00AF5F50">
        <w:rPr>
          <w:rFonts w:ascii="Garamond" w:hAnsi="Garamond"/>
          <w:sz w:val="25"/>
          <w:szCs w:val="25"/>
        </w:rPr>
        <w:t>555</w:t>
      </w:r>
      <w:r w:rsidRPr="001E3097">
        <w:rPr>
          <w:rFonts w:ascii="Garamond" w:hAnsi="Garamond"/>
          <w:sz w:val="25"/>
          <w:szCs w:val="25"/>
        </w:rPr>
        <w:t xml:space="preserve">) </w:t>
      </w:r>
      <w:r w:rsidR="00AF5F50">
        <w:rPr>
          <w:rFonts w:ascii="Garamond" w:hAnsi="Garamond"/>
          <w:sz w:val="25"/>
          <w:szCs w:val="25"/>
        </w:rPr>
        <w:t>555</w:t>
      </w:r>
      <w:r w:rsidRPr="001E3097">
        <w:rPr>
          <w:rFonts w:ascii="Garamond" w:hAnsi="Garamond"/>
          <w:sz w:val="25"/>
          <w:szCs w:val="25"/>
        </w:rPr>
        <w:t>-</w:t>
      </w:r>
      <w:r w:rsidR="00AF5F50">
        <w:rPr>
          <w:rFonts w:ascii="Garamond" w:hAnsi="Garamond"/>
          <w:sz w:val="25"/>
          <w:szCs w:val="25"/>
        </w:rPr>
        <w:t>5555</w:t>
      </w:r>
    </w:p>
    <w:p w14:paraId="41E953C6" w14:textId="5D4589CD" w:rsidR="0086387D" w:rsidRPr="001E3097" w:rsidRDefault="0086387D" w:rsidP="0086387D">
      <w:pPr>
        <w:ind w:right="-810"/>
        <w:rPr>
          <w:rFonts w:ascii="Garamond" w:hAnsi="Garamond"/>
          <w:sz w:val="25"/>
          <w:szCs w:val="25"/>
        </w:rPr>
      </w:pP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r w:rsidRPr="001E3097">
        <w:rPr>
          <w:rFonts w:ascii="Garamond" w:hAnsi="Garamond"/>
          <w:sz w:val="25"/>
          <w:szCs w:val="25"/>
        </w:rPr>
        <w:tab/>
      </w:r>
      <w:hyperlink r:id="rId7" w:history="1">
        <w:r w:rsidR="00AF5F50" w:rsidRPr="004849FA">
          <w:rPr>
            <w:rStyle w:val="Hyperlink"/>
            <w:rFonts w:ascii="Garamond" w:hAnsi="Garamond"/>
            <w:sz w:val="25"/>
            <w:szCs w:val="25"/>
          </w:rPr>
          <w:t>xyz@umn.edu</w:t>
        </w:r>
      </w:hyperlink>
    </w:p>
    <w:p w14:paraId="772D9C6C" w14:textId="77777777" w:rsidR="0086387D" w:rsidRPr="001E3097" w:rsidRDefault="0086387D" w:rsidP="0086387D">
      <w:pPr>
        <w:spacing w:line="480" w:lineRule="auto"/>
        <w:ind w:right="-810" w:firstLine="720"/>
        <w:rPr>
          <w:rFonts w:ascii="Georgia" w:eastAsia="Times New Roman" w:hAnsi="Georgia" w:cs="Times New Roman"/>
          <w:sz w:val="25"/>
          <w:szCs w:val="25"/>
        </w:rPr>
      </w:pPr>
    </w:p>
    <w:sectPr w:rsidR="0086387D" w:rsidRPr="001E3097" w:rsidSect="00B12D32">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070CD0" w14:textId="77777777" w:rsidR="00032132" w:rsidRDefault="00032132" w:rsidP="0082377A">
      <w:r>
        <w:separator/>
      </w:r>
    </w:p>
  </w:endnote>
  <w:endnote w:type="continuationSeparator" w:id="0">
    <w:p w14:paraId="38960A5B" w14:textId="77777777" w:rsidR="00032132" w:rsidRDefault="00032132" w:rsidP="00823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Garamond">
    <w:panose1 w:val="020204040303010108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A14EF" w14:textId="16AAC160" w:rsidR="00032132" w:rsidRDefault="008C3F3C" w:rsidP="008C3F3C">
    <w:pPr>
      <w:pStyle w:val="Footer"/>
    </w:pPr>
    <w:r>
      <w:rPr>
        <w:rStyle w:val="PageNumber"/>
      </w:rPr>
      <w:tab/>
    </w:r>
    <w:r w:rsidR="00032132">
      <w:rPr>
        <w:rStyle w:val="PageNumber"/>
      </w:rPr>
      <w:fldChar w:fldCharType="begin"/>
    </w:r>
    <w:r w:rsidR="00032132">
      <w:rPr>
        <w:rStyle w:val="PageNumber"/>
      </w:rPr>
      <w:instrText xml:space="preserve"> PAGE </w:instrText>
    </w:r>
    <w:r w:rsidR="00032132">
      <w:rPr>
        <w:rStyle w:val="PageNumber"/>
      </w:rPr>
      <w:fldChar w:fldCharType="separate"/>
    </w:r>
    <w:r w:rsidR="003E2F84">
      <w:rPr>
        <w:rStyle w:val="PageNumber"/>
        <w:noProof/>
      </w:rPr>
      <w:t>1</w:t>
    </w:r>
    <w:r w:rsidR="00032132">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911C97" w14:textId="77777777" w:rsidR="00032132" w:rsidRDefault="00032132" w:rsidP="0082377A">
      <w:r>
        <w:separator/>
      </w:r>
    </w:p>
  </w:footnote>
  <w:footnote w:type="continuationSeparator" w:id="0">
    <w:p w14:paraId="77CF39F1" w14:textId="77777777" w:rsidR="00032132" w:rsidRDefault="00032132" w:rsidP="0082377A">
      <w:r>
        <w:continuationSeparator/>
      </w:r>
    </w:p>
  </w:footnote>
  <w:footnote w:id="1">
    <w:p w14:paraId="564575C6" w14:textId="3C2812BC" w:rsidR="00032132" w:rsidRPr="0013193C" w:rsidRDefault="00032132" w:rsidP="007A7B8B">
      <w:pPr>
        <w:pStyle w:val="FootnoteText"/>
        <w:ind w:right="-180"/>
        <w:rPr>
          <w:rFonts w:ascii="Garamond" w:eastAsia="Times New Roman" w:hAnsi="Garamond" w:cs="Times New Roman"/>
        </w:rPr>
      </w:pPr>
      <w:r w:rsidRPr="0013193C">
        <w:rPr>
          <w:rStyle w:val="FootnoteReference"/>
          <w:rFonts w:ascii="Garamond" w:hAnsi="Garamond"/>
        </w:rPr>
        <w:footnoteRef/>
      </w:r>
      <w:r w:rsidRPr="0013193C">
        <w:rPr>
          <w:rFonts w:ascii="Garamond" w:hAnsi="Garamond"/>
        </w:rPr>
        <w:t xml:space="preserve"> Indeed, this is precisely the provision exercised in </w:t>
      </w:r>
      <w:r w:rsidRPr="0013193C">
        <w:rPr>
          <w:rFonts w:ascii="Garamond" w:hAnsi="Garamond"/>
          <w:u w:val="single"/>
        </w:rPr>
        <w:t>TMTV, Corp. vs. Mass Productions Inc.</w:t>
      </w:r>
      <w:r w:rsidRPr="0013193C">
        <w:rPr>
          <w:rFonts w:ascii="Garamond" w:hAnsi="Garamond"/>
        </w:rPr>
        <w:t>, 645 F.3d 464, 469 (1st Cir. 2011), in which the independent contractors had prior oral understandings with a production company but there was no express written agreement for a work made for hire before the work was completed, so the copyright ownership was properly conveyed using 17 U.S.C.</w:t>
      </w:r>
      <w:r w:rsidRPr="0013193C">
        <w:rPr>
          <w:rFonts w:ascii="Garamond" w:hAnsi="Garamond" w:cs="Lucida Grande"/>
          <w:color w:val="000000"/>
        </w:rPr>
        <w:t xml:space="preserve"> § </w:t>
      </w:r>
      <w:r w:rsidRPr="0013193C">
        <w:rPr>
          <w:rFonts w:ascii="Garamond" w:eastAsia="Times New Roman" w:hAnsi="Garamond" w:cs="Times New Roman"/>
        </w:rPr>
        <w:t xml:space="preserve">204(a). </w:t>
      </w:r>
    </w:p>
    <w:p w14:paraId="33896856" w14:textId="77777777" w:rsidR="00032132" w:rsidRDefault="00032132">
      <w:pPr>
        <w:pStyle w:val="FootnoteText"/>
      </w:pPr>
    </w:p>
  </w:footnote>
  <w:footnote w:id="2">
    <w:p w14:paraId="2C63B851" w14:textId="783D1B66" w:rsidR="00032132" w:rsidRPr="0013193C" w:rsidRDefault="00032132" w:rsidP="007A7B8B">
      <w:pPr>
        <w:pStyle w:val="FootnoteText"/>
        <w:ind w:right="-180"/>
        <w:rPr>
          <w:rFonts w:ascii="Garamond" w:hAnsi="Garamond"/>
        </w:rPr>
      </w:pPr>
      <w:r w:rsidRPr="0013193C">
        <w:rPr>
          <w:rStyle w:val="FootnoteReference"/>
          <w:rFonts w:ascii="Garamond" w:hAnsi="Garamond"/>
        </w:rPr>
        <w:footnoteRef/>
      </w:r>
      <w:r w:rsidRPr="0013193C">
        <w:rPr>
          <w:rFonts w:ascii="Garamond" w:hAnsi="Garamond"/>
        </w:rPr>
        <w:t xml:space="preserve"> </w:t>
      </w:r>
      <w:r w:rsidRPr="0013193C">
        <w:rPr>
          <w:rFonts w:ascii="Garamond" w:hAnsi="Garamond"/>
          <w:u w:val="single"/>
        </w:rPr>
        <w:t>Compaq Computer Corp. v. Ergonome Incorp</w:t>
      </w:r>
      <w:r w:rsidRPr="0013193C">
        <w:rPr>
          <w:rFonts w:ascii="Garamond" w:hAnsi="Garamond"/>
        </w:rPr>
        <w:t xml:space="preserve">. 210 F. Supp. 2d. 839, 843 (S.D. Tex. 2001) (relying on Fifth Circuit dicta naming the Second Circuit “the </w:t>
      </w:r>
      <w:r w:rsidRPr="00FA3A8C">
        <w:rPr>
          <w:rFonts w:ascii="Garamond" w:hAnsi="Garamond"/>
          <w:i/>
        </w:rPr>
        <w:t>de facto</w:t>
      </w:r>
      <w:r w:rsidRPr="0013193C">
        <w:rPr>
          <w:rFonts w:ascii="Garamond" w:hAnsi="Garamond"/>
        </w:rPr>
        <w:t xml:space="preserve"> Copyright Court of the United States”) (citing </w:t>
      </w:r>
      <w:r w:rsidRPr="0013193C">
        <w:rPr>
          <w:rFonts w:ascii="Garamond" w:hAnsi="Garamond"/>
          <w:u w:val="single"/>
        </w:rPr>
        <w:t>Easter Seal Soc. vs. Playboy Enter.</w:t>
      </w:r>
      <w:r w:rsidRPr="0013193C">
        <w:rPr>
          <w:rFonts w:ascii="Garamond" w:hAnsi="Garamond"/>
        </w:rPr>
        <w:t xml:space="preserve"> [sic], 815 F. 2d 323, 325 (5th Cir. 1987). </w:t>
      </w:r>
      <w:r w:rsidRPr="0013193C">
        <w:rPr>
          <w:rFonts w:ascii="Garamond" w:hAnsi="Garamond"/>
          <w:u w:val="single"/>
        </w:rPr>
        <w:t>Looney Ricks Kiss Architects, Inc. vs. Bryan</w:t>
      </w:r>
      <w:r w:rsidRPr="0013193C">
        <w:rPr>
          <w:rFonts w:ascii="Garamond" w:hAnsi="Garamond"/>
        </w:rPr>
        <w:t xml:space="preserve">, 2010 U.S. Dist. Lexis 110100 (W.D. La. 2010) (“This Court accepts the Fifth Circuit’s admonition that the Second Circuit is ‘the </w:t>
      </w:r>
      <w:r w:rsidRPr="0013193C">
        <w:rPr>
          <w:rFonts w:ascii="Garamond" w:hAnsi="Garamond"/>
          <w:i/>
        </w:rPr>
        <w:t>de facto</w:t>
      </w:r>
      <w:r w:rsidRPr="0013193C">
        <w:rPr>
          <w:rFonts w:ascii="Garamond" w:hAnsi="Garamond"/>
        </w:rPr>
        <w:t xml:space="preserve"> Copyright Court. . .’”) (citing </w:t>
      </w:r>
      <w:r w:rsidRPr="0013193C">
        <w:rPr>
          <w:rFonts w:ascii="Garamond" w:hAnsi="Garamond"/>
          <w:u w:val="single"/>
        </w:rPr>
        <w:t>Easter Seal</w:t>
      </w:r>
      <w:r w:rsidRPr="0013193C">
        <w:rPr>
          <w:rFonts w:ascii="Garamond" w:hAnsi="Garamond"/>
        </w:rPr>
        <w:t xml:space="preserve">, 815 F. 2d at 325). Ironically, the Fifth Circuit’s holding in </w:t>
      </w:r>
      <w:r w:rsidRPr="0013193C">
        <w:rPr>
          <w:rFonts w:ascii="Garamond" w:hAnsi="Garamond"/>
          <w:u w:val="single"/>
        </w:rPr>
        <w:t>Easter Seal</w:t>
      </w:r>
      <w:r w:rsidRPr="0013193C">
        <w:rPr>
          <w:rFonts w:ascii="Garamond" w:hAnsi="Garamond"/>
        </w:rPr>
        <w:t xml:space="preserve"> actually rejected a copyright rule proposed by the Second Circuit in </w:t>
      </w:r>
      <w:r w:rsidRPr="0013193C">
        <w:rPr>
          <w:rFonts w:ascii="Garamond" w:hAnsi="Garamond"/>
          <w:u w:val="single"/>
        </w:rPr>
        <w:t>Aldon Accessories Ltd. v. Speigel, Inc.</w:t>
      </w:r>
      <w:r w:rsidRPr="0013193C">
        <w:rPr>
          <w:rFonts w:ascii="Garamond" w:hAnsi="Garamond"/>
        </w:rPr>
        <w:t xml:space="preserve">, 738 F. 2d 548 (2nd Cir. 1984). 815 F. 2d at 334. The Supreme Court in </w:t>
      </w:r>
      <w:r w:rsidRPr="0013193C">
        <w:rPr>
          <w:rFonts w:ascii="Garamond" w:hAnsi="Garamond"/>
          <w:u w:val="single"/>
        </w:rPr>
        <w:t>Reid</w:t>
      </w:r>
      <w:r w:rsidRPr="0013193C">
        <w:rPr>
          <w:rFonts w:ascii="Garamond" w:hAnsi="Garamond"/>
        </w:rPr>
        <w:t xml:space="preserve"> would later also dismiss the </w:t>
      </w:r>
      <w:r w:rsidRPr="0013193C">
        <w:rPr>
          <w:rFonts w:ascii="Garamond" w:hAnsi="Garamond"/>
          <w:u w:val="single"/>
        </w:rPr>
        <w:t>Aldon Accessories</w:t>
      </w:r>
      <w:r w:rsidRPr="0013193C">
        <w:rPr>
          <w:rFonts w:ascii="Garamond" w:hAnsi="Garamond"/>
        </w:rPr>
        <w:t xml:space="preserve"> rule (a case-by-case “control and supervision” test) for determining whether a person was an “employee” under the 17 U.S.C. </w:t>
      </w:r>
      <w:r w:rsidRPr="0013193C">
        <w:rPr>
          <w:rFonts w:ascii="Garamond" w:hAnsi="Garamond" w:cs="Lucida Grande"/>
          <w:color w:val="000000"/>
        </w:rPr>
        <w:t>§</w:t>
      </w:r>
      <w:r w:rsidRPr="0013193C">
        <w:rPr>
          <w:rFonts w:ascii="Garamond" w:hAnsi="Garamond"/>
        </w:rPr>
        <w:t xml:space="preserve">101(1). Instead, </w:t>
      </w:r>
      <w:r w:rsidRPr="0013193C">
        <w:rPr>
          <w:rFonts w:ascii="Garamond" w:hAnsi="Garamond"/>
          <w:u w:val="single"/>
        </w:rPr>
        <w:t>Reid</w:t>
      </w:r>
      <w:r w:rsidRPr="0013193C">
        <w:rPr>
          <w:rFonts w:ascii="Garamond" w:hAnsi="Garamond"/>
        </w:rPr>
        <w:t xml:space="preserve"> adopted the Fifth Circuit’s common law agency test from </w:t>
      </w:r>
      <w:r w:rsidRPr="0013193C">
        <w:rPr>
          <w:rFonts w:ascii="Garamond" w:hAnsi="Garamond"/>
          <w:u w:val="single"/>
        </w:rPr>
        <w:t>Easter Seal</w:t>
      </w:r>
      <w:r w:rsidRPr="0013193C">
        <w:rPr>
          <w:rFonts w:ascii="Garamond" w:hAnsi="Garamond"/>
        </w:rPr>
        <w:t>, 490 U.S. at 741, casting doubt as to the infallibility of the Second Circuit as the “</w:t>
      </w:r>
      <w:r w:rsidRPr="0013193C">
        <w:rPr>
          <w:rFonts w:ascii="Garamond" w:hAnsi="Garamond"/>
          <w:i/>
        </w:rPr>
        <w:t>de facto</w:t>
      </w:r>
      <w:r w:rsidRPr="0013193C">
        <w:rPr>
          <w:rFonts w:ascii="Garamond" w:hAnsi="Garamond"/>
        </w:rPr>
        <w:t xml:space="preserve"> Copyright Court”.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02B"/>
    <w:rsid w:val="00001D07"/>
    <w:rsid w:val="00003019"/>
    <w:rsid w:val="000115B5"/>
    <w:rsid w:val="0001214F"/>
    <w:rsid w:val="000121AF"/>
    <w:rsid w:val="00016DBD"/>
    <w:rsid w:val="00032132"/>
    <w:rsid w:val="00033143"/>
    <w:rsid w:val="00033582"/>
    <w:rsid w:val="00035B84"/>
    <w:rsid w:val="0004213F"/>
    <w:rsid w:val="0004399B"/>
    <w:rsid w:val="00044D1F"/>
    <w:rsid w:val="0005563A"/>
    <w:rsid w:val="00055A40"/>
    <w:rsid w:val="00057371"/>
    <w:rsid w:val="0006163D"/>
    <w:rsid w:val="000659A4"/>
    <w:rsid w:val="00067BA1"/>
    <w:rsid w:val="00071ACB"/>
    <w:rsid w:val="00072975"/>
    <w:rsid w:val="00073FA0"/>
    <w:rsid w:val="00075A73"/>
    <w:rsid w:val="00076366"/>
    <w:rsid w:val="00083F70"/>
    <w:rsid w:val="00093530"/>
    <w:rsid w:val="00093A0E"/>
    <w:rsid w:val="000A44D3"/>
    <w:rsid w:val="000D0E38"/>
    <w:rsid w:val="000D4F16"/>
    <w:rsid w:val="000E0851"/>
    <w:rsid w:val="000E0E84"/>
    <w:rsid w:val="000E2766"/>
    <w:rsid w:val="000F748A"/>
    <w:rsid w:val="00101112"/>
    <w:rsid w:val="001021D3"/>
    <w:rsid w:val="00105180"/>
    <w:rsid w:val="00115E26"/>
    <w:rsid w:val="0012345C"/>
    <w:rsid w:val="00126B94"/>
    <w:rsid w:val="0013193C"/>
    <w:rsid w:val="00135448"/>
    <w:rsid w:val="00137517"/>
    <w:rsid w:val="0014490D"/>
    <w:rsid w:val="001470A5"/>
    <w:rsid w:val="001525A6"/>
    <w:rsid w:val="001528E6"/>
    <w:rsid w:val="00165CF3"/>
    <w:rsid w:val="00193826"/>
    <w:rsid w:val="00195017"/>
    <w:rsid w:val="001A4D92"/>
    <w:rsid w:val="001B37CC"/>
    <w:rsid w:val="001B5504"/>
    <w:rsid w:val="001C17E9"/>
    <w:rsid w:val="001C354F"/>
    <w:rsid w:val="001C4B0B"/>
    <w:rsid w:val="001C7A73"/>
    <w:rsid w:val="001D0C14"/>
    <w:rsid w:val="001E3097"/>
    <w:rsid w:val="001F0276"/>
    <w:rsid w:val="001F3FB8"/>
    <w:rsid w:val="0020361D"/>
    <w:rsid w:val="002141E5"/>
    <w:rsid w:val="0023123C"/>
    <w:rsid w:val="00231A27"/>
    <w:rsid w:val="00236D1E"/>
    <w:rsid w:val="00247476"/>
    <w:rsid w:val="00254CD6"/>
    <w:rsid w:val="00275941"/>
    <w:rsid w:val="00290998"/>
    <w:rsid w:val="002A2FD2"/>
    <w:rsid w:val="002A4AB4"/>
    <w:rsid w:val="002A4D8D"/>
    <w:rsid w:val="002A5863"/>
    <w:rsid w:val="002B150F"/>
    <w:rsid w:val="002B44B9"/>
    <w:rsid w:val="002C04B6"/>
    <w:rsid w:val="002C0DCE"/>
    <w:rsid w:val="002C2C81"/>
    <w:rsid w:val="002D0759"/>
    <w:rsid w:val="002D1E98"/>
    <w:rsid w:val="002D5332"/>
    <w:rsid w:val="002D5B12"/>
    <w:rsid w:val="003115D6"/>
    <w:rsid w:val="00321AF3"/>
    <w:rsid w:val="003258FD"/>
    <w:rsid w:val="0033769F"/>
    <w:rsid w:val="00343F5C"/>
    <w:rsid w:val="0035400F"/>
    <w:rsid w:val="00354A74"/>
    <w:rsid w:val="003561A9"/>
    <w:rsid w:val="00362457"/>
    <w:rsid w:val="00364516"/>
    <w:rsid w:val="003663BC"/>
    <w:rsid w:val="0037009E"/>
    <w:rsid w:val="00373C86"/>
    <w:rsid w:val="00375AFE"/>
    <w:rsid w:val="003769BA"/>
    <w:rsid w:val="003824D7"/>
    <w:rsid w:val="003A7D24"/>
    <w:rsid w:val="003B1A8E"/>
    <w:rsid w:val="003B5E07"/>
    <w:rsid w:val="003C4CD7"/>
    <w:rsid w:val="003C5CA8"/>
    <w:rsid w:val="003D6A2E"/>
    <w:rsid w:val="003E2F84"/>
    <w:rsid w:val="003E3A81"/>
    <w:rsid w:val="003E567C"/>
    <w:rsid w:val="003F0019"/>
    <w:rsid w:val="0040082B"/>
    <w:rsid w:val="00403FF0"/>
    <w:rsid w:val="00405A21"/>
    <w:rsid w:val="00410172"/>
    <w:rsid w:val="00427F1C"/>
    <w:rsid w:val="00435D4B"/>
    <w:rsid w:val="00437BBD"/>
    <w:rsid w:val="00443F40"/>
    <w:rsid w:val="00456737"/>
    <w:rsid w:val="00483D92"/>
    <w:rsid w:val="004868EF"/>
    <w:rsid w:val="00486DB5"/>
    <w:rsid w:val="004A2042"/>
    <w:rsid w:val="004A4384"/>
    <w:rsid w:val="004B01A2"/>
    <w:rsid w:val="004B0240"/>
    <w:rsid w:val="004B7A02"/>
    <w:rsid w:val="004C313F"/>
    <w:rsid w:val="004C4C8D"/>
    <w:rsid w:val="004C5D00"/>
    <w:rsid w:val="004D25F8"/>
    <w:rsid w:val="004D7E3D"/>
    <w:rsid w:val="004E2F89"/>
    <w:rsid w:val="004F202A"/>
    <w:rsid w:val="0050144C"/>
    <w:rsid w:val="00503264"/>
    <w:rsid w:val="0051458E"/>
    <w:rsid w:val="00525161"/>
    <w:rsid w:val="00525CEA"/>
    <w:rsid w:val="00532E10"/>
    <w:rsid w:val="0053517B"/>
    <w:rsid w:val="00542A03"/>
    <w:rsid w:val="00562471"/>
    <w:rsid w:val="00570645"/>
    <w:rsid w:val="005A07C3"/>
    <w:rsid w:val="005B3415"/>
    <w:rsid w:val="005C37FA"/>
    <w:rsid w:val="005D3B31"/>
    <w:rsid w:val="006062F1"/>
    <w:rsid w:val="006074BD"/>
    <w:rsid w:val="00607C69"/>
    <w:rsid w:val="00613DCA"/>
    <w:rsid w:val="0061590A"/>
    <w:rsid w:val="00616218"/>
    <w:rsid w:val="00616342"/>
    <w:rsid w:val="006219D1"/>
    <w:rsid w:val="00631AA2"/>
    <w:rsid w:val="00637899"/>
    <w:rsid w:val="00655132"/>
    <w:rsid w:val="0065721C"/>
    <w:rsid w:val="00687C41"/>
    <w:rsid w:val="006A196E"/>
    <w:rsid w:val="006A4ECA"/>
    <w:rsid w:val="006D5140"/>
    <w:rsid w:val="006D7ED4"/>
    <w:rsid w:val="006E4E49"/>
    <w:rsid w:val="006F48C0"/>
    <w:rsid w:val="00700039"/>
    <w:rsid w:val="00703DAD"/>
    <w:rsid w:val="00717337"/>
    <w:rsid w:val="0072422B"/>
    <w:rsid w:val="007460DF"/>
    <w:rsid w:val="0075635A"/>
    <w:rsid w:val="00760342"/>
    <w:rsid w:val="00771D16"/>
    <w:rsid w:val="007875AA"/>
    <w:rsid w:val="007922B8"/>
    <w:rsid w:val="00792841"/>
    <w:rsid w:val="007A7B8B"/>
    <w:rsid w:val="007C53D8"/>
    <w:rsid w:val="007D1E76"/>
    <w:rsid w:val="007F214E"/>
    <w:rsid w:val="007F3835"/>
    <w:rsid w:val="007F54AC"/>
    <w:rsid w:val="00802122"/>
    <w:rsid w:val="00811032"/>
    <w:rsid w:val="0082033E"/>
    <w:rsid w:val="00822DFE"/>
    <w:rsid w:val="0082377A"/>
    <w:rsid w:val="00835C8A"/>
    <w:rsid w:val="0084006B"/>
    <w:rsid w:val="0084447A"/>
    <w:rsid w:val="00844A06"/>
    <w:rsid w:val="00847D3F"/>
    <w:rsid w:val="0085060D"/>
    <w:rsid w:val="00862AC5"/>
    <w:rsid w:val="0086387D"/>
    <w:rsid w:val="00863DF6"/>
    <w:rsid w:val="008711A0"/>
    <w:rsid w:val="00875A48"/>
    <w:rsid w:val="00877725"/>
    <w:rsid w:val="00881282"/>
    <w:rsid w:val="00884127"/>
    <w:rsid w:val="008976C4"/>
    <w:rsid w:val="008A1E44"/>
    <w:rsid w:val="008A54BE"/>
    <w:rsid w:val="008A575B"/>
    <w:rsid w:val="008A61D8"/>
    <w:rsid w:val="008B22C4"/>
    <w:rsid w:val="008B4625"/>
    <w:rsid w:val="008B4661"/>
    <w:rsid w:val="008B7BA7"/>
    <w:rsid w:val="008C3F3C"/>
    <w:rsid w:val="008D0BE3"/>
    <w:rsid w:val="008D1BAE"/>
    <w:rsid w:val="008D66D3"/>
    <w:rsid w:val="008E0E60"/>
    <w:rsid w:val="008E1D30"/>
    <w:rsid w:val="008E6973"/>
    <w:rsid w:val="008F1DF3"/>
    <w:rsid w:val="00902E74"/>
    <w:rsid w:val="009306C6"/>
    <w:rsid w:val="0093374A"/>
    <w:rsid w:val="00935A2E"/>
    <w:rsid w:val="00944C38"/>
    <w:rsid w:val="00956B0E"/>
    <w:rsid w:val="00963035"/>
    <w:rsid w:val="00964088"/>
    <w:rsid w:val="009815A3"/>
    <w:rsid w:val="00981715"/>
    <w:rsid w:val="00996522"/>
    <w:rsid w:val="00997F90"/>
    <w:rsid w:val="009C1794"/>
    <w:rsid w:val="009C3BDB"/>
    <w:rsid w:val="009C5F45"/>
    <w:rsid w:val="009D4376"/>
    <w:rsid w:val="009D602B"/>
    <w:rsid w:val="009E1258"/>
    <w:rsid w:val="009E55AB"/>
    <w:rsid w:val="009E6030"/>
    <w:rsid w:val="009F37E6"/>
    <w:rsid w:val="009F5C15"/>
    <w:rsid w:val="00A04C9E"/>
    <w:rsid w:val="00A071D2"/>
    <w:rsid w:val="00A16F80"/>
    <w:rsid w:val="00A30C35"/>
    <w:rsid w:val="00A33EDE"/>
    <w:rsid w:val="00A36756"/>
    <w:rsid w:val="00A647A7"/>
    <w:rsid w:val="00AA0453"/>
    <w:rsid w:val="00AC0A23"/>
    <w:rsid w:val="00AE2414"/>
    <w:rsid w:val="00AE5A52"/>
    <w:rsid w:val="00AF5F50"/>
    <w:rsid w:val="00B1144F"/>
    <w:rsid w:val="00B12D32"/>
    <w:rsid w:val="00B31DD0"/>
    <w:rsid w:val="00B343B1"/>
    <w:rsid w:val="00B36FEB"/>
    <w:rsid w:val="00B5678F"/>
    <w:rsid w:val="00B57FAE"/>
    <w:rsid w:val="00B619FD"/>
    <w:rsid w:val="00B620C7"/>
    <w:rsid w:val="00B70D9D"/>
    <w:rsid w:val="00B72E3A"/>
    <w:rsid w:val="00B75986"/>
    <w:rsid w:val="00B85053"/>
    <w:rsid w:val="00B850A1"/>
    <w:rsid w:val="00B91589"/>
    <w:rsid w:val="00B945EE"/>
    <w:rsid w:val="00B94761"/>
    <w:rsid w:val="00B94B34"/>
    <w:rsid w:val="00BA30C8"/>
    <w:rsid w:val="00BA4D9B"/>
    <w:rsid w:val="00BD5F78"/>
    <w:rsid w:val="00BE116C"/>
    <w:rsid w:val="00C150B3"/>
    <w:rsid w:val="00C17F9D"/>
    <w:rsid w:val="00C2219D"/>
    <w:rsid w:val="00C32450"/>
    <w:rsid w:val="00C4257B"/>
    <w:rsid w:val="00C62B8F"/>
    <w:rsid w:val="00C64246"/>
    <w:rsid w:val="00C73D04"/>
    <w:rsid w:val="00C95B5D"/>
    <w:rsid w:val="00C97761"/>
    <w:rsid w:val="00C97A46"/>
    <w:rsid w:val="00CB2C81"/>
    <w:rsid w:val="00CB44DC"/>
    <w:rsid w:val="00CB4D75"/>
    <w:rsid w:val="00CC0E16"/>
    <w:rsid w:val="00CD5DCA"/>
    <w:rsid w:val="00CE4FF9"/>
    <w:rsid w:val="00CE6ECB"/>
    <w:rsid w:val="00D01282"/>
    <w:rsid w:val="00D11814"/>
    <w:rsid w:val="00D20B19"/>
    <w:rsid w:val="00D22695"/>
    <w:rsid w:val="00D469F9"/>
    <w:rsid w:val="00D564BF"/>
    <w:rsid w:val="00D65F61"/>
    <w:rsid w:val="00D71904"/>
    <w:rsid w:val="00D77452"/>
    <w:rsid w:val="00D81196"/>
    <w:rsid w:val="00D81C11"/>
    <w:rsid w:val="00D86611"/>
    <w:rsid w:val="00D9526B"/>
    <w:rsid w:val="00DA3EC9"/>
    <w:rsid w:val="00DD5855"/>
    <w:rsid w:val="00DE29CA"/>
    <w:rsid w:val="00DE3D98"/>
    <w:rsid w:val="00DF60AE"/>
    <w:rsid w:val="00E0313F"/>
    <w:rsid w:val="00E0393E"/>
    <w:rsid w:val="00E13645"/>
    <w:rsid w:val="00E13FA8"/>
    <w:rsid w:val="00E17ED4"/>
    <w:rsid w:val="00E20584"/>
    <w:rsid w:val="00E22755"/>
    <w:rsid w:val="00E3431C"/>
    <w:rsid w:val="00E35FD5"/>
    <w:rsid w:val="00E4096B"/>
    <w:rsid w:val="00E442DB"/>
    <w:rsid w:val="00E46EF3"/>
    <w:rsid w:val="00E55825"/>
    <w:rsid w:val="00E57034"/>
    <w:rsid w:val="00E81D79"/>
    <w:rsid w:val="00E8690C"/>
    <w:rsid w:val="00E91375"/>
    <w:rsid w:val="00EB17F2"/>
    <w:rsid w:val="00EB3376"/>
    <w:rsid w:val="00EC5A52"/>
    <w:rsid w:val="00ED61C9"/>
    <w:rsid w:val="00EE7EB4"/>
    <w:rsid w:val="00F115F2"/>
    <w:rsid w:val="00F17B15"/>
    <w:rsid w:val="00F20E6A"/>
    <w:rsid w:val="00F26409"/>
    <w:rsid w:val="00F37A49"/>
    <w:rsid w:val="00F426E3"/>
    <w:rsid w:val="00F42A4B"/>
    <w:rsid w:val="00F46E1C"/>
    <w:rsid w:val="00F514CE"/>
    <w:rsid w:val="00F674C4"/>
    <w:rsid w:val="00F67B0A"/>
    <w:rsid w:val="00F84CCB"/>
    <w:rsid w:val="00F96566"/>
    <w:rsid w:val="00FA265B"/>
    <w:rsid w:val="00FA3A8C"/>
    <w:rsid w:val="00FA6E8B"/>
    <w:rsid w:val="00FA7DC4"/>
    <w:rsid w:val="00FB028F"/>
    <w:rsid w:val="00FB19D2"/>
    <w:rsid w:val="00FC09DB"/>
    <w:rsid w:val="00FD5C23"/>
    <w:rsid w:val="00FE04B8"/>
    <w:rsid w:val="00FE12D2"/>
    <w:rsid w:val="00FF1BD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C331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377A"/>
    <w:pPr>
      <w:tabs>
        <w:tab w:val="center" w:pos="4320"/>
        <w:tab w:val="right" w:pos="8640"/>
      </w:tabs>
    </w:pPr>
  </w:style>
  <w:style w:type="character" w:customStyle="1" w:styleId="HeaderChar">
    <w:name w:val="Header Char"/>
    <w:basedOn w:val="DefaultParagraphFont"/>
    <w:link w:val="Header"/>
    <w:uiPriority w:val="99"/>
    <w:rsid w:val="0082377A"/>
  </w:style>
  <w:style w:type="paragraph" w:styleId="Footer">
    <w:name w:val="footer"/>
    <w:basedOn w:val="Normal"/>
    <w:link w:val="FooterChar"/>
    <w:uiPriority w:val="99"/>
    <w:unhideWhenUsed/>
    <w:rsid w:val="0082377A"/>
    <w:pPr>
      <w:tabs>
        <w:tab w:val="center" w:pos="4320"/>
        <w:tab w:val="right" w:pos="8640"/>
      </w:tabs>
    </w:pPr>
  </w:style>
  <w:style w:type="character" w:customStyle="1" w:styleId="FooterChar">
    <w:name w:val="Footer Char"/>
    <w:basedOn w:val="DefaultParagraphFont"/>
    <w:link w:val="Footer"/>
    <w:uiPriority w:val="99"/>
    <w:rsid w:val="0082377A"/>
  </w:style>
  <w:style w:type="character" w:styleId="PageNumber">
    <w:name w:val="page number"/>
    <w:basedOn w:val="DefaultParagraphFont"/>
    <w:uiPriority w:val="99"/>
    <w:semiHidden/>
    <w:unhideWhenUsed/>
    <w:rsid w:val="0082377A"/>
  </w:style>
  <w:style w:type="character" w:styleId="Hyperlink">
    <w:name w:val="Hyperlink"/>
    <w:basedOn w:val="DefaultParagraphFont"/>
    <w:uiPriority w:val="99"/>
    <w:unhideWhenUsed/>
    <w:rsid w:val="00B91589"/>
    <w:rPr>
      <w:color w:val="0000FF"/>
      <w:u w:val="single"/>
    </w:rPr>
  </w:style>
  <w:style w:type="character" w:customStyle="1" w:styleId="apple-converted-space">
    <w:name w:val="apple-converted-space"/>
    <w:basedOn w:val="DefaultParagraphFont"/>
    <w:rsid w:val="00B91589"/>
  </w:style>
  <w:style w:type="paragraph" w:styleId="FootnoteText">
    <w:name w:val="footnote text"/>
    <w:basedOn w:val="Normal"/>
    <w:link w:val="FootnoteTextChar"/>
    <w:uiPriority w:val="99"/>
    <w:unhideWhenUsed/>
    <w:rsid w:val="00373C86"/>
  </w:style>
  <w:style w:type="character" w:customStyle="1" w:styleId="FootnoteTextChar">
    <w:name w:val="Footnote Text Char"/>
    <w:basedOn w:val="DefaultParagraphFont"/>
    <w:link w:val="FootnoteText"/>
    <w:uiPriority w:val="99"/>
    <w:rsid w:val="00373C86"/>
  </w:style>
  <w:style w:type="character" w:styleId="FootnoteReference">
    <w:name w:val="footnote reference"/>
    <w:basedOn w:val="DefaultParagraphFont"/>
    <w:uiPriority w:val="99"/>
    <w:unhideWhenUsed/>
    <w:rsid w:val="00373C86"/>
    <w:rPr>
      <w:vertAlign w:val="superscript"/>
    </w:rPr>
  </w:style>
  <w:style w:type="character" w:styleId="CommentReference">
    <w:name w:val="annotation reference"/>
    <w:basedOn w:val="DefaultParagraphFont"/>
    <w:uiPriority w:val="99"/>
    <w:semiHidden/>
    <w:unhideWhenUsed/>
    <w:rsid w:val="001E3097"/>
    <w:rPr>
      <w:sz w:val="16"/>
      <w:szCs w:val="16"/>
    </w:rPr>
  </w:style>
  <w:style w:type="paragraph" w:styleId="CommentText">
    <w:name w:val="annotation text"/>
    <w:basedOn w:val="Normal"/>
    <w:link w:val="CommentTextChar"/>
    <w:uiPriority w:val="99"/>
    <w:semiHidden/>
    <w:unhideWhenUsed/>
    <w:rsid w:val="001E3097"/>
    <w:rPr>
      <w:sz w:val="20"/>
      <w:szCs w:val="20"/>
    </w:rPr>
  </w:style>
  <w:style w:type="character" w:customStyle="1" w:styleId="CommentTextChar">
    <w:name w:val="Comment Text Char"/>
    <w:basedOn w:val="DefaultParagraphFont"/>
    <w:link w:val="CommentText"/>
    <w:uiPriority w:val="99"/>
    <w:semiHidden/>
    <w:rsid w:val="001E3097"/>
    <w:rPr>
      <w:sz w:val="20"/>
      <w:szCs w:val="20"/>
    </w:rPr>
  </w:style>
  <w:style w:type="paragraph" w:styleId="BalloonText">
    <w:name w:val="Balloon Text"/>
    <w:basedOn w:val="Normal"/>
    <w:link w:val="BalloonTextChar"/>
    <w:uiPriority w:val="99"/>
    <w:semiHidden/>
    <w:unhideWhenUsed/>
    <w:rsid w:val="001E309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E3097"/>
    <w:rPr>
      <w:rFonts w:ascii="Lucida Grande" w:hAnsi="Lucida Grande" w:cs="Lucida Grande"/>
      <w:sz w:val="18"/>
      <w:szCs w:val="18"/>
    </w:rPr>
  </w:style>
  <w:style w:type="character" w:styleId="FollowedHyperlink">
    <w:name w:val="FollowedHyperlink"/>
    <w:basedOn w:val="DefaultParagraphFont"/>
    <w:uiPriority w:val="99"/>
    <w:semiHidden/>
    <w:unhideWhenUsed/>
    <w:rsid w:val="00AF5F50"/>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377A"/>
    <w:pPr>
      <w:tabs>
        <w:tab w:val="center" w:pos="4320"/>
        <w:tab w:val="right" w:pos="8640"/>
      </w:tabs>
    </w:pPr>
  </w:style>
  <w:style w:type="character" w:customStyle="1" w:styleId="HeaderChar">
    <w:name w:val="Header Char"/>
    <w:basedOn w:val="DefaultParagraphFont"/>
    <w:link w:val="Header"/>
    <w:uiPriority w:val="99"/>
    <w:rsid w:val="0082377A"/>
  </w:style>
  <w:style w:type="paragraph" w:styleId="Footer">
    <w:name w:val="footer"/>
    <w:basedOn w:val="Normal"/>
    <w:link w:val="FooterChar"/>
    <w:uiPriority w:val="99"/>
    <w:unhideWhenUsed/>
    <w:rsid w:val="0082377A"/>
    <w:pPr>
      <w:tabs>
        <w:tab w:val="center" w:pos="4320"/>
        <w:tab w:val="right" w:pos="8640"/>
      </w:tabs>
    </w:pPr>
  </w:style>
  <w:style w:type="character" w:customStyle="1" w:styleId="FooterChar">
    <w:name w:val="Footer Char"/>
    <w:basedOn w:val="DefaultParagraphFont"/>
    <w:link w:val="Footer"/>
    <w:uiPriority w:val="99"/>
    <w:rsid w:val="0082377A"/>
  </w:style>
  <w:style w:type="character" w:styleId="PageNumber">
    <w:name w:val="page number"/>
    <w:basedOn w:val="DefaultParagraphFont"/>
    <w:uiPriority w:val="99"/>
    <w:semiHidden/>
    <w:unhideWhenUsed/>
    <w:rsid w:val="0082377A"/>
  </w:style>
  <w:style w:type="character" w:styleId="Hyperlink">
    <w:name w:val="Hyperlink"/>
    <w:basedOn w:val="DefaultParagraphFont"/>
    <w:uiPriority w:val="99"/>
    <w:unhideWhenUsed/>
    <w:rsid w:val="00B91589"/>
    <w:rPr>
      <w:color w:val="0000FF"/>
      <w:u w:val="single"/>
    </w:rPr>
  </w:style>
  <w:style w:type="character" w:customStyle="1" w:styleId="apple-converted-space">
    <w:name w:val="apple-converted-space"/>
    <w:basedOn w:val="DefaultParagraphFont"/>
    <w:rsid w:val="00B91589"/>
  </w:style>
  <w:style w:type="paragraph" w:styleId="FootnoteText">
    <w:name w:val="footnote text"/>
    <w:basedOn w:val="Normal"/>
    <w:link w:val="FootnoteTextChar"/>
    <w:uiPriority w:val="99"/>
    <w:unhideWhenUsed/>
    <w:rsid w:val="00373C86"/>
  </w:style>
  <w:style w:type="character" w:customStyle="1" w:styleId="FootnoteTextChar">
    <w:name w:val="Footnote Text Char"/>
    <w:basedOn w:val="DefaultParagraphFont"/>
    <w:link w:val="FootnoteText"/>
    <w:uiPriority w:val="99"/>
    <w:rsid w:val="00373C86"/>
  </w:style>
  <w:style w:type="character" w:styleId="FootnoteReference">
    <w:name w:val="footnote reference"/>
    <w:basedOn w:val="DefaultParagraphFont"/>
    <w:uiPriority w:val="99"/>
    <w:unhideWhenUsed/>
    <w:rsid w:val="00373C86"/>
    <w:rPr>
      <w:vertAlign w:val="superscript"/>
    </w:rPr>
  </w:style>
  <w:style w:type="character" w:styleId="CommentReference">
    <w:name w:val="annotation reference"/>
    <w:basedOn w:val="DefaultParagraphFont"/>
    <w:uiPriority w:val="99"/>
    <w:semiHidden/>
    <w:unhideWhenUsed/>
    <w:rsid w:val="001E3097"/>
    <w:rPr>
      <w:sz w:val="16"/>
      <w:szCs w:val="16"/>
    </w:rPr>
  </w:style>
  <w:style w:type="paragraph" w:styleId="CommentText">
    <w:name w:val="annotation text"/>
    <w:basedOn w:val="Normal"/>
    <w:link w:val="CommentTextChar"/>
    <w:uiPriority w:val="99"/>
    <w:semiHidden/>
    <w:unhideWhenUsed/>
    <w:rsid w:val="001E3097"/>
    <w:rPr>
      <w:sz w:val="20"/>
      <w:szCs w:val="20"/>
    </w:rPr>
  </w:style>
  <w:style w:type="character" w:customStyle="1" w:styleId="CommentTextChar">
    <w:name w:val="Comment Text Char"/>
    <w:basedOn w:val="DefaultParagraphFont"/>
    <w:link w:val="CommentText"/>
    <w:uiPriority w:val="99"/>
    <w:semiHidden/>
    <w:rsid w:val="001E3097"/>
    <w:rPr>
      <w:sz w:val="20"/>
      <w:szCs w:val="20"/>
    </w:rPr>
  </w:style>
  <w:style w:type="paragraph" w:styleId="BalloonText">
    <w:name w:val="Balloon Text"/>
    <w:basedOn w:val="Normal"/>
    <w:link w:val="BalloonTextChar"/>
    <w:uiPriority w:val="99"/>
    <w:semiHidden/>
    <w:unhideWhenUsed/>
    <w:rsid w:val="001E309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E3097"/>
    <w:rPr>
      <w:rFonts w:ascii="Lucida Grande" w:hAnsi="Lucida Grande" w:cs="Lucida Grande"/>
      <w:sz w:val="18"/>
      <w:szCs w:val="18"/>
    </w:rPr>
  </w:style>
  <w:style w:type="character" w:styleId="FollowedHyperlink">
    <w:name w:val="FollowedHyperlink"/>
    <w:basedOn w:val="DefaultParagraphFont"/>
    <w:uiPriority w:val="99"/>
    <w:semiHidden/>
    <w:unhideWhenUsed/>
    <w:rsid w:val="00AF5F5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50308">
      <w:bodyDiv w:val="1"/>
      <w:marLeft w:val="0"/>
      <w:marRight w:val="0"/>
      <w:marTop w:val="0"/>
      <w:marBottom w:val="0"/>
      <w:divBdr>
        <w:top w:val="none" w:sz="0" w:space="0" w:color="auto"/>
        <w:left w:val="none" w:sz="0" w:space="0" w:color="auto"/>
        <w:bottom w:val="none" w:sz="0" w:space="0" w:color="auto"/>
        <w:right w:val="none" w:sz="0" w:space="0" w:color="auto"/>
      </w:divBdr>
    </w:div>
    <w:div w:id="684013272">
      <w:bodyDiv w:val="1"/>
      <w:marLeft w:val="0"/>
      <w:marRight w:val="0"/>
      <w:marTop w:val="0"/>
      <w:marBottom w:val="0"/>
      <w:divBdr>
        <w:top w:val="none" w:sz="0" w:space="0" w:color="auto"/>
        <w:left w:val="none" w:sz="0" w:space="0" w:color="auto"/>
        <w:bottom w:val="none" w:sz="0" w:space="0" w:color="auto"/>
        <w:right w:val="none" w:sz="0" w:space="0" w:color="auto"/>
      </w:divBdr>
    </w:div>
    <w:div w:id="823593761">
      <w:bodyDiv w:val="1"/>
      <w:marLeft w:val="0"/>
      <w:marRight w:val="0"/>
      <w:marTop w:val="0"/>
      <w:marBottom w:val="0"/>
      <w:divBdr>
        <w:top w:val="none" w:sz="0" w:space="0" w:color="auto"/>
        <w:left w:val="none" w:sz="0" w:space="0" w:color="auto"/>
        <w:bottom w:val="none" w:sz="0" w:space="0" w:color="auto"/>
        <w:right w:val="none" w:sz="0" w:space="0" w:color="auto"/>
      </w:divBdr>
    </w:div>
    <w:div w:id="951981469">
      <w:bodyDiv w:val="1"/>
      <w:marLeft w:val="0"/>
      <w:marRight w:val="0"/>
      <w:marTop w:val="0"/>
      <w:marBottom w:val="0"/>
      <w:divBdr>
        <w:top w:val="none" w:sz="0" w:space="0" w:color="auto"/>
        <w:left w:val="none" w:sz="0" w:space="0" w:color="auto"/>
        <w:bottom w:val="none" w:sz="0" w:space="0" w:color="auto"/>
        <w:right w:val="none" w:sz="0" w:space="0" w:color="auto"/>
      </w:divBdr>
    </w:div>
    <w:div w:id="1023289931">
      <w:bodyDiv w:val="1"/>
      <w:marLeft w:val="0"/>
      <w:marRight w:val="0"/>
      <w:marTop w:val="0"/>
      <w:marBottom w:val="0"/>
      <w:divBdr>
        <w:top w:val="none" w:sz="0" w:space="0" w:color="auto"/>
        <w:left w:val="none" w:sz="0" w:space="0" w:color="auto"/>
        <w:bottom w:val="none" w:sz="0" w:space="0" w:color="auto"/>
        <w:right w:val="none" w:sz="0" w:space="0" w:color="auto"/>
      </w:divBdr>
    </w:div>
    <w:div w:id="1043405620">
      <w:bodyDiv w:val="1"/>
      <w:marLeft w:val="0"/>
      <w:marRight w:val="0"/>
      <w:marTop w:val="0"/>
      <w:marBottom w:val="0"/>
      <w:divBdr>
        <w:top w:val="none" w:sz="0" w:space="0" w:color="auto"/>
        <w:left w:val="none" w:sz="0" w:space="0" w:color="auto"/>
        <w:bottom w:val="none" w:sz="0" w:space="0" w:color="auto"/>
        <w:right w:val="none" w:sz="0" w:space="0" w:color="auto"/>
      </w:divBdr>
    </w:div>
    <w:div w:id="1443451152">
      <w:bodyDiv w:val="1"/>
      <w:marLeft w:val="0"/>
      <w:marRight w:val="0"/>
      <w:marTop w:val="0"/>
      <w:marBottom w:val="0"/>
      <w:divBdr>
        <w:top w:val="none" w:sz="0" w:space="0" w:color="auto"/>
        <w:left w:val="none" w:sz="0" w:space="0" w:color="auto"/>
        <w:bottom w:val="none" w:sz="0" w:space="0" w:color="auto"/>
        <w:right w:val="none" w:sz="0" w:space="0" w:color="auto"/>
      </w:divBdr>
    </w:div>
    <w:div w:id="1661931337">
      <w:bodyDiv w:val="1"/>
      <w:marLeft w:val="0"/>
      <w:marRight w:val="0"/>
      <w:marTop w:val="0"/>
      <w:marBottom w:val="0"/>
      <w:divBdr>
        <w:top w:val="none" w:sz="0" w:space="0" w:color="auto"/>
        <w:left w:val="none" w:sz="0" w:space="0" w:color="auto"/>
        <w:bottom w:val="none" w:sz="0" w:space="0" w:color="auto"/>
        <w:right w:val="none" w:sz="0" w:space="0" w:color="auto"/>
      </w:divBdr>
    </w:div>
    <w:div w:id="2123263815">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mailto:xyz@umn.edu" TargetMode="Externa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4798</Words>
  <Characters>24811</Characters>
  <Application>Microsoft Macintosh Word</Application>
  <DocSecurity>0</DocSecurity>
  <Lines>375</Lines>
  <Paragraphs>86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29523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2012-02-08T11:56:00Z</cp:lastPrinted>
  <dcterms:created xsi:type="dcterms:W3CDTF">2012-04-11T01:48:00Z</dcterms:created>
  <dcterms:modified xsi:type="dcterms:W3CDTF">2012-06-01T20:44:00Z</dcterms:modified>
  <cp:category/>
</cp:coreProperties>
</file>